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570A45"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bookmarkStart w:id="0" w:name="_GoBack"/>
      <w:bookmarkEnd w:id="0"/>
    </w:p>
    <w:p w:rsidR="00B703B2" w:rsidRPr="00B703B2" w:rsidRDefault="00570A45" w:rsidP="00B703B2">
      <w:pPr>
        <w:jc w:val="center"/>
      </w:pPr>
      <w:r w:rsidRPr="00B703B2">
        <w:t>MINISTERIUM FÜR KULTUS, JUGEND UND SPORT</w:t>
      </w:r>
    </w:p>
    <w:p w:rsidR="00B703B2" w:rsidRDefault="00570A45" w:rsidP="00B703B2">
      <w:pPr>
        <w:jc w:val="center"/>
      </w:pPr>
      <w:bookmarkStart w:id="1" w:name="Schreiben__1Z"/>
      <w:bookmarkEnd w:id="1"/>
      <w:r w:rsidRPr="00B703B2">
        <w:t>Landeslehrerprüfungsamt -  Außenstelle beim Regierungspräsidium Karlsruhe</w:t>
      </w:r>
    </w:p>
    <w:p w:rsidR="00B703B2" w:rsidRDefault="00993B4F"/>
    <w:p w:rsidR="00B703B2" w:rsidRDefault="00570A45"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p>
    <w:p w:rsidR="00B703B2" w:rsidRPr="007E4E50" w:rsidRDefault="00570A45"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p>
    <w:p w:rsidR="00B703B2" w:rsidRDefault="00993B4F"/>
    <w:p w:rsidR="006C7C5C" w:rsidRDefault="00993B4F"/>
    <w:p w:rsidR="006C7C5C" w:rsidRDefault="00993B4F"/>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Tr="00E50C29">
        <w:tc>
          <w:tcPr>
            <w:tcW w:w="4928" w:type="dxa"/>
          </w:tcPr>
          <w:p w:rsidR="00B703B2" w:rsidRDefault="00570A45"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570A45">
            <w:r>
              <w:t>Universität</w:t>
            </w:r>
          </w:p>
        </w:tc>
        <w:tc>
          <w:tcPr>
            <w:tcW w:w="2208" w:type="dxa"/>
          </w:tcPr>
          <w:p w:rsidR="00B703B2" w:rsidRDefault="00955929" w:rsidP="00D40DB5">
            <w:pPr>
              <w:jc w:val="center"/>
              <w:rPr>
                <w:b/>
                <w:sz w:val="28"/>
                <w:szCs w:val="28"/>
              </w:rPr>
            </w:pPr>
            <w:r>
              <w:rPr>
                <w:b/>
                <w:sz w:val="28"/>
                <w:szCs w:val="28"/>
              </w:rPr>
              <w:t>Hebräisch</w:t>
            </w:r>
          </w:p>
          <w:p w:rsidR="00955929" w:rsidRPr="00D40DB5" w:rsidRDefault="00955929" w:rsidP="00D40DB5">
            <w:pPr>
              <w:jc w:val="center"/>
              <w:rPr>
                <w:b/>
                <w:sz w:val="28"/>
                <w:szCs w:val="28"/>
              </w:rPr>
            </w:pPr>
          </w:p>
        </w:tc>
      </w:tr>
      <w:tr w:rsidR="00B703B2" w:rsidTr="00E50C29">
        <w:tc>
          <w:tcPr>
            <w:tcW w:w="4928" w:type="dxa"/>
          </w:tcPr>
          <w:p w:rsidR="00B703B2" w:rsidRDefault="00570A45"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6E9A112F04784F8BA27CC69F4A57A07A"/>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tcPr>
              <w:p w:rsidR="00B703B2" w:rsidRDefault="00570A45">
                <w:r>
                  <w:rPr>
                    <w:rStyle w:val="Platzhaltertext"/>
                  </w:rPr>
                  <w:t>wählen</w:t>
                </w:r>
              </w:p>
            </w:tc>
          </w:sdtContent>
        </w:sdt>
        <w:tc>
          <w:tcPr>
            <w:tcW w:w="2208" w:type="dxa"/>
          </w:tcPr>
          <w:p w:rsidR="00B703B2" w:rsidRDefault="00570A45"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B703B2" w:rsidTr="00E50C29">
        <w:tc>
          <w:tcPr>
            <w:tcW w:w="4928" w:type="dxa"/>
          </w:tcPr>
          <w:p w:rsidR="00B703B2" w:rsidRDefault="00993B4F"/>
        </w:tc>
        <w:tc>
          <w:tcPr>
            <w:tcW w:w="2410" w:type="dxa"/>
          </w:tcPr>
          <w:p w:rsidR="00B703B2" w:rsidRDefault="00993B4F" w:rsidP="004F2662">
            <w:pPr>
              <w:tabs>
                <w:tab w:val="left" w:pos="1451"/>
              </w:tabs>
            </w:pPr>
          </w:p>
        </w:tc>
        <w:tc>
          <w:tcPr>
            <w:tcW w:w="2208" w:type="dxa"/>
          </w:tcPr>
          <w:p w:rsidR="00B703B2" w:rsidRDefault="00570A45"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3B2" w:rsidTr="00E50C29">
        <w:tc>
          <w:tcPr>
            <w:tcW w:w="4928" w:type="dxa"/>
          </w:tcPr>
          <w:p w:rsidR="00B703B2" w:rsidRDefault="00993B4F"/>
        </w:tc>
        <w:tc>
          <w:tcPr>
            <w:tcW w:w="2410" w:type="dxa"/>
          </w:tcPr>
          <w:p w:rsidR="00B703B2" w:rsidRDefault="00570A45"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570A45"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7C5C" w:rsidTr="00E50C29">
        <w:tc>
          <w:tcPr>
            <w:tcW w:w="4928" w:type="dxa"/>
          </w:tcPr>
          <w:p w:rsidR="006C7C5C" w:rsidRDefault="00993B4F"/>
        </w:tc>
        <w:tc>
          <w:tcPr>
            <w:tcW w:w="2410" w:type="dxa"/>
          </w:tcPr>
          <w:p w:rsidR="006C7C5C" w:rsidRDefault="00993B4F"/>
        </w:tc>
        <w:tc>
          <w:tcPr>
            <w:tcW w:w="2208" w:type="dxa"/>
          </w:tcPr>
          <w:p w:rsidR="006C7C5C" w:rsidRDefault="00993B4F"/>
        </w:tc>
      </w:tr>
      <w:tr w:rsidR="00B703B2" w:rsidTr="00E50C29">
        <w:tc>
          <w:tcPr>
            <w:tcW w:w="4928" w:type="dxa"/>
          </w:tcPr>
          <w:p w:rsidR="00B703B2" w:rsidRDefault="00570A45">
            <w:r>
              <w:t>Wissenschaftliche Arbeit im Fach</w:t>
            </w:r>
          </w:p>
        </w:tc>
        <w:sdt>
          <w:sdtPr>
            <w:id w:val="1080181551"/>
            <w:showingPlcHdr/>
          </w:sdtPr>
          <w:sdtEndPr/>
          <w:sdtContent>
            <w:tc>
              <w:tcPr>
                <w:tcW w:w="2410" w:type="dxa"/>
              </w:tcPr>
              <w:p w:rsidR="00B703B2" w:rsidRDefault="00570A45" w:rsidP="004F2662">
                <w:r>
                  <w:rPr>
                    <w:rStyle w:val="Platzhaltertext"/>
                  </w:rPr>
                  <w:t>Fach</w:t>
                </w:r>
                <w:r w:rsidRPr="0031253B">
                  <w:rPr>
                    <w:rStyle w:val="Platzhaltertext"/>
                  </w:rPr>
                  <w:t xml:space="preserve"> eingeben.</w:t>
                </w:r>
              </w:p>
            </w:tc>
          </w:sdtContent>
        </w:sdt>
        <w:tc>
          <w:tcPr>
            <w:tcW w:w="2208" w:type="dxa"/>
          </w:tcPr>
          <w:p w:rsidR="00B703B2" w:rsidRDefault="00993B4F"/>
        </w:tc>
      </w:tr>
      <w:tr w:rsidR="00B703B2" w:rsidTr="00E50C29">
        <w:tc>
          <w:tcPr>
            <w:tcW w:w="4928" w:type="dxa"/>
          </w:tcPr>
          <w:p w:rsidR="00B703B2" w:rsidRDefault="00570A45">
            <w:r>
              <w:t>Thema:</w:t>
            </w:r>
          </w:p>
        </w:tc>
        <w:tc>
          <w:tcPr>
            <w:tcW w:w="2410" w:type="dxa"/>
          </w:tcPr>
          <w:p w:rsidR="00B703B2" w:rsidRDefault="00993B4F"/>
        </w:tc>
        <w:tc>
          <w:tcPr>
            <w:tcW w:w="2208" w:type="dxa"/>
          </w:tcPr>
          <w:p w:rsidR="00B703B2" w:rsidRDefault="00993B4F"/>
        </w:tc>
      </w:tr>
      <w:tr w:rsidR="006C7C5C" w:rsidTr="00E50C29">
        <w:sdt>
          <w:sdtPr>
            <w:id w:val="1589888833"/>
            <w:showingPlcHdr/>
          </w:sdtPr>
          <w:sdtEndPr/>
          <w:sdtContent>
            <w:tc>
              <w:tcPr>
                <w:tcW w:w="9546" w:type="dxa"/>
                <w:gridSpan w:val="3"/>
              </w:tcPr>
              <w:p w:rsidR="006C7C5C" w:rsidRDefault="00570A45" w:rsidP="004F2662">
                <w:r>
                  <w:rPr>
                    <w:rStyle w:val="Platzhaltertext"/>
                  </w:rPr>
                  <w:t>Thema ein</w:t>
                </w:r>
                <w:r w:rsidRPr="0031253B">
                  <w:rPr>
                    <w:rStyle w:val="Platzhaltertext"/>
                  </w:rPr>
                  <w:t>geben.</w:t>
                </w:r>
              </w:p>
            </w:tc>
          </w:sdtContent>
        </w:sdt>
      </w:tr>
      <w:tr w:rsidR="006C7C5C" w:rsidTr="00E50C29">
        <w:tc>
          <w:tcPr>
            <w:tcW w:w="9546" w:type="dxa"/>
            <w:gridSpan w:val="3"/>
          </w:tcPr>
          <w:p w:rsidR="006C7C5C" w:rsidRDefault="00993B4F" w:rsidP="008918E1">
            <w:pPr>
              <w:overflowPunct/>
              <w:textAlignment w:val="auto"/>
              <w:rPr>
                <w:rFonts w:ascii="Helvetica-Bold" w:hAnsi="Helvetica-Bold" w:cs="Helvetica-Bold"/>
                <w:b/>
                <w:bCs/>
                <w:sz w:val="20"/>
              </w:rPr>
            </w:pPr>
          </w:p>
        </w:tc>
      </w:tr>
      <w:tr w:rsidR="00B703B2" w:rsidTr="00E50C29">
        <w:tc>
          <w:tcPr>
            <w:tcW w:w="9546" w:type="dxa"/>
            <w:gridSpan w:val="3"/>
            <w:tcBorders>
              <w:bottom w:val="single" w:sz="4" w:space="0" w:color="auto"/>
            </w:tcBorders>
          </w:tcPr>
          <w:p w:rsidR="008918E1" w:rsidRPr="001B20EB" w:rsidRDefault="00570A45" w:rsidP="008918E1">
            <w:pPr>
              <w:overflowPunct/>
              <w:textAlignment w:val="auto"/>
              <w:rPr>
                <w:b/>
                <w:bCs/>
                <w:sz w:val="20"/>
              </w:rPr>
            </w:pPr>
            <w:r w:rsidRPr="001B20EB">
              <w:rPr>
                <w:b/>
                <w:bCs/>
                <w:sz w:val="20"/>
              </w:rPr>
              <w:t>Vom Bewerber in Abstimmung mit den Prüfern zu wählende Schwerpunktthemen.</w:t>
            </w:r>
          </w:p>
          <w:p w:rsidR="008918E1" w:rsidRPr="001B20EB" w:rsidRDefault="00570A45" w:rsidP="008918E1">
            <w:pPr>
              <w:overflowPunct/>
              <w:textAlignment w:val="auto"/>
              <w:rPr>
                <w:b/>
                <w:bCs/>
                <w:sz w:val="20"/>
              </w:rPr>
            </w:pPr>
            <w:r w:rsidRPr="001B20EB">
              <w:rPr>
                <w:b/>
                <w:bCs/>
                <w:sz w:val="20"/>
              </w:rPr>
              <w:t>Die Schwerpunktthemen werden jeweils 15 Minuten geprüft; 15 Minuten entfallen auf die Prüfung von Grundlagen- und Überblickswissen.</w:t>
            </w:r>
          </w:p>
          <w:p w:rsidR="00B703B2" w:rsidRDefault="00993B4F"/>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570A45" w:rsidP="00955929">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 </w:t>
            </w:r>
            <w:r w:rsidR="00955929">
              <w:rPr>
                <w:b/>
                <w:bCs/>
                <w:szCs w:val="24"/>
              </w:rPr>
              <w:t>Erzählender Text der hebräischen Bibel</w:t>
            </w:r>
            <w:r w:rsidRPr="001B20EB">
              <w:rPr>
                <w:b/>
                <w:bCs/>
                <w:szCs w:val="24"/>
              </w:rPr>
              <w:t>:</w:t>
            </w:r>
          </w:p>
        </w:tc>
      </w:tr>
      <w:tr w:rsidR="00B703B2" w:rsidTr="00E50C29">
        <w:trPr>
          <w:trHeight w:val="851"/>
        </w:trPr>
        <w:sdt>
          <w:sdtPr>
            <w:alias w:val="Thema"/>
            <w:tag w:val="Thema"/>
            <w:id w:val="1730813853"/>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B703B2" w:rsidRDefault="00570A45" w:rsidP="004F2662">
                <w:r>
                  <w:rPr>
                    <w:rStyle w:val="Platzhaltertext"/>
                  </w:rPr>
                  <w:t>Prüfungsthema eing</w:t>
                </w:r>
                <w:r w:rsidRPr="0031253B">
                  <w:rPr>
                    <w:rStyle w:val="Platzhaltertext"/>
                  </w:rPr>
                  <w:t>eben.</w:t>
                </w:r>
              </w:p>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570A45" w:rsidP="004F2662">
            <w:pPr>
              <w:jc w:val="center"/>
            </w:pPr>
            <w:r>
              <w:t>Prüfer:</w:t>
            </w:r>
            <w:r>
              <w:br/>
            </w:r>
            <w:sdt>
              <w:sdtPr>
                <w:id w:val="-206340732"/>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993B4F" w:rsidP="008918E1">
            <w:pPr>
              <w:jc w:val="center"/>
            </w:pPr>
          </w:p>
          <w:p w:rsidR="008918E1" w:rsidRDefault="00570A45" w:rsidP="008918E1">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570A45" w:rsidP="00955929">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 </w:t>
            </w:r>
            <w:r w:rsidR="00955929">
              <w:rPr>
                <w:b/>
                <w:bCs/>
                <w:szCs w:val="24"/>
              </w:rPr>
              <w:t>Poetischer Text der hebräischen Bibel</w:t>
            </w:r>
            <w:r w:rsidRPr="001B20EB">
              <w:rPr>
                <w:b/>
                <w:bCs/>
                <w:szCs w:val="24"/>
              </w:rPr>
              <w:t>:</w:t>
            </w:r>
          </w:p>
        </w:tc>
      </w:tr>
      <w:tr w:rsidR="008918E1" w:rsidTr="00E50C29">
        <w:trPr>
          <w:trHeight w:val="851"/>
        </w:trPr>
        <w:sdt>
          <w:sdtPr>
            <w:id w:val="-193072777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570A45" w:rsidP="004F2662">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570A45"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993B4F" w:rsidP="00BA22C0">
            <w:pPr>
              <w:jc w:val="center"/>
            </w:pPr>
          </w:p>
          <w:p w:rsidR="008918E1" w:rsidRDefault="00570A45" w:rsidP="00BA22C0">
            <w:pPr>
              <w:jc w:val="center"/>
            </w:pPr>
            <w:r>
              <w:t>Unterschrift Prüfer</w:t>
            </w:r>
          </w:p>
        </w:tc>
      </w:tr>
      <w:tr w:rsidR="008918E1" w:rsidTr="00E50C29">
        <w:tc>
          <w:tcPr>
            <w:tcW w:w="4928" w:type="dxa"/>
            <w:tcBorders>
              <w:top w:val="single" w:sz="4" w:space="0" w:color="auto"/>
              <w:left w:val="single" w:sz="4" w:space="0" w:color="auto"/>
              <w:right w:val="single" w:sz="4" w:space="0" w:color="auto"/>
            </w:tcBorders>
          </w:tcPr>
          <w:p w:rsidR="008918E1" w:rsidRDefault="00993B4F"/>
        </w:tc>
        <w:tc>
          <w:tcPr>
            <w:tcW w:w="2410" w:type="dxa"/>
            <w:tcBorders>
              <w:top w:val="single" w:sz="4" w:space="0" w:color="auto"/>
              <w:left w:val="single" w:sz="4" w:space="0" w:color="auto"/>
              <w:right w:val="single" w:sz="4" w:space="0" w:color="auto"/>
            </w:tcBorders>
          </w:tcPr>
          <w:p w:rsidR="008918E1" w:rsidRDefault="00993B4F"/>
        </w:tc>
        <w:tc>
          <w:tcPr>
            <w:tcW w:w="2208" w:type="dxa"/>
            <w:tcBorders>
              <w:top w:val="single" w:sz="4" w:space="0" w:color="auto"/>
              <w:left w:val="single" w:sz="4" w:space="0" w:color="auto"/>
              <w:right w:val="single" w:sz="4" w:space="0" w:color="auto"/>
            </w:tcBorders>
          </w:tcPr>
          <w:p w:rsidR="008918E1" w:rsidRDefault="00993B4F"/>
        </w:tc>
      </w:tr>
      <w:tr w:rsidR="008918E1" w:rsidTr="00E50C29">
        <w:tc>
          <w:tcPr>
            <w:tcW w:w="4928" w:type="dxa"/>
            <w:tcBorders>
              <w:left w:val="single" w:sz="4" w:space="0" w:color="auto"/>
              <w:right w:val="single" w:sz="4" w:space="0" w:color="auto"/>
            </w:tcBorders>
          </w:tcPr>
          <w:p w:rsidR="008918E1" w:rsidRDefault="00993B4F"/>
        </w:tc>
        <w:tc>
          <w:tcPr>
            <w:tcW w:w="2410" w:type="dxa"/>
            <w:tcBorders>
              <w:left w:val="single" w:sz="4" w:space="0" w:color="auto"/>
              <w:right w:val="single" w:sz="4" w:space="0" w:color="auto"/>
            </w:tcBorders>
          </w:tcPr>
          <w:p w:rsidR="008918E1" w:rsidRDefault="00993B4F"/>
        </w:tc>
        <w:tc>
          <w:tcPr>
            <w:tcW w:w="2208" w:type="dxa"/>
            <w:tcBorders>
              <w:left w:val="single" w:sz="4" w:space="0" w:color="auto"/>
              <w:right w:val="single" w:sz="4" w:space="0" w:color="auto"/>
            </w:tcBorders>
          </w:tcPr>
          <w:p w:rsidR="008918E1" w:rsidRDefault="00993B4F"/>
        </w:tc>
      </w:tr>
      <w:tr w:rsidR="008918E1" w:rsidTr="00E50C29">
        <w:tc>
          <w:tcPr>
            <w:tcW w:w="4928" w:type="dxa"/>
            <w:tcBorders>
              <w:left w:val="single" w:sz="4" w:space="0" w:color="auto"/>
              <w:bottom w:val="single" w:sz="4" w:space="0" w:color="auto"/>
              <w:right w:val="single" w:sz="4" w:space="0" w:color="auto"/>
            </w:tcBorders>
          </w:tcPr>
          <w:p w:rsidR="006C7C5C" w:rsidRDefault="00993B4F" w:rsidP="006C7C5C">
            <w:pPr>
              <w:jc w:val="center"/>
            </w:pPr>
          </w:p>
          <w:p w:rsidR="008918E1" w:rsidRDefault="00570A45" w:rsidP="006C7C5C">
            <w:r>
              <w:t>Unterschrift Lehramtsbewerber</w:t>
            </w:r>
          </w:p>
        </w:tc>
        <w:tc>
          <w:tcPr>
            <w:tcW w:w="2410" w:type="dxa"/>
            <w:tcBorders>
              <w:left w:val="single" w:sz="4" w:space="0" w:color="auto"/>
              <w:bottom w:val="single" w:sz="4" w:space="0" w:color="auto"/>
              <w:right w:val="single" w:sz="4" w:space="0" w:color="auto"/>
            </w:tcBorders>
          </w:tcPr>
          <w:p w:rsidR="00A22D67" w:rsidRDefault="00993B4F" w:rsidP="00A22D67"/>
          <w:p w:rsidR="008918E1" w:rsidRDefault="00570A45" w:rsidP="00A22D67">
            <w:r>
              <w:t>Datum</w:t>
            </w:r>
          </w:p>
        </w:tc>
        <w:tc>
          <w:tcPr>
            <w:tcW w:w="2208" w:type="dxa"/>
            <w:tcBorders>
              <w:left w:val="single" w:sz="4" w:space="0" w:color="auto"/>
              <w:bottom w:val="single" w:sz="4" w:space="0" w:color="auto"/>
              <w:right w:val="single" w:sz="4" w:space="0" w:color="auto"/>
            </w:tcBorders>
          </w:tcPr>
          <w:p w:rsidR="006C7C5C" w:rsidRDefault="00993B4F"/>
        </w:tc>
      </w:tr>
      <w:tr w:rsidR="008918E1" w:rsidTr="00E50C29">
        <w:tc>
          <w:tcPr>
            <w:tcW w:w="4928" w:type="dxa"/>
            <w:tcBorders>
              <w:top w:val="single" w:sz="4" w:space="0" w:color="auto"/>
            </w:tcBorders>
          </w:tcPr>
          <w:p w:rsidR="008918E1" w:rsidRDefault="00993B4F"/>
        </w:tc>
        <w:tc>
          <w:tcPr>
            <w:tcW w:w="2410" w:type="dxa"/>
            <w:tcBorders>
              <w:top w:val="single" w:sz="4" w:space="0" w:color="auto"/>
            </w:tcBorders>
          </w:tcPr>
          <w:p w:rsidR="008918E1" w:rsidRDefault="00993B4F"/>
        </w:tc>
        <w:tc>
          <w:tcPr>
            <w:tcW w:w="2208" w:type="dxa"/>
            <w:tcBorders>
              <w:top w:val="single" w:sz="4" w:space="0" w:color="auto"/>
            </w:tcBorders>
          </w:tcPr>
          <w:p w:rsidR="008918E1" w:rsidRDefault="00993B4F"/>
        </w:tc>
      </w:tr>
    </w:tbl>
    <w:p w:rsidR="00B703B2" w:rsidRDefault="00570A45" w:rsidP="00A22D67">
      <w:pPr>
        <w:rPr>
          <w:rFonts w:ascii="Helvetica" w:hAnsi="Helvetica" w:cs="Helvetica"/>
          <w:sz w:val="20"/>
        </w:rPr>
      </w:pPr>
      <w:r>
        <w:rPr>
          <w:rFonts w:ascii="Helvetica-Bold" w:hAnsi="Helvetica-Bold" w:cs="Helvetica-Bold"/>
          <w:b/>
          <w:bCs/>
          <w:sz w:val="20"/>
        </w:rPr>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BC42E4" w:rsidRDefault="00993B4F" w:rsidP="00A22D67">
      <w:pPr>
        <w:rPr>
          <w:rFonts w:ascii="Helvetica" w:hAnsi="Helvetica" w:cs="Helvetica"/>
          <w:sz w:val="20"/>
        </w:rPr>
      </w:pPr>
    </w:p>
    <w:p w:rsidR="00BC42E4" w:rsidRDefault="00993B4F" w:rsidP="00A22D67">
      <w:pPr>
        <w:rPr>
          <w:rFonts w:ascii="Helvetica" w:hAnsi="Helvetica" w:cs="Helvetica"/>
          <w:sz w:val="20"/>
        </w:rPr>
      </w:pPr>
    </w:p>
    <w:p w:rsidR="0002773A" w:rsidRDefault="00993B4F" w:rsidP="00A22D67">
      <w:pPr>
        <w:rPr>
          <w:rFonts w:ascii="Helvetica" w:hAnsi="Helvetica" w:cs="Helvetica"/>
          <w:sz w:val="20"/>
        </w:rPr>
      </w:pPr>
    </w:p>
    <w:p w:rsidR="0002773A" w:rsidRDefault="00993B4F" w:rsidP="00A22D67">
      <w:pPr>
        <w:rPr>
          <w:rFonts w:ascii="Helvetica" w:hAnsi="Helvetica" w:cs="Helvetica"/>
          <w:sz w:val="20"/>
        </w:rPr>
      </w:pPr>
    </w:p>
    <w:p w:rsidR="0002773A" w:rsidRDefault="00993B4F" w:rsidP="00A22D67">
      <w:pPr>
        <w:rPr>
          <w:rFonts w:ascii="Helvetica" w:hAnsi="Helvetica" w:cs="Helvetica"/>
          <w:sz w:val="20"/>
        </w:rPr>
      </w:pPr>
    </w:p>
    <w:p w:rsidR="0002773A" w:rsidRDefault="00993B4F" w:rsidP="00A22D67">
      <w:pPr>
        <w:rPr>
          <w:rFonts w:ascii="Helvetica" w:hAnsi="Helvetica" w:cs="Helvetica"/>
          <w:sz w:val="20"/>
        </w:rPr>
      </w:pPr>
    </w:p>
    <w:p w:rsidR="0002773A" w:rsidRDefault="00993B4F" w:rsidP="00A22D67">
      <w:pPr>
        <w:rPr>
          <w:rFonts w:ascii="Helvetica" w:hAnsi="Helvetica" w:cs="Helvetica"/>
          <w:sz w:val="20"/>
        </w:rPr>
      </w:pPr>
    </w:p>
    <w:p w:rsidR="004F7941" w:rsidRDefault="00993B4F" w:rsidP="00A22D67">
      <w:pPr>
        <w:rPr>
          <w:rFonts w:ascii="Helvetica" w:hAnsi="Helvetica" w:cs="Helvetica"/>
          <w:sz w:val="20"/>
        </w:rPr>
      </w:pPr>
    </w:p>
    <w:p w:rsidR="004F7941" w:rsidRDefault="00993B4F" w:rsidP="00A22D67">
      <w:pPr>
        <w:rPr>
          <w:rFonts w:ascii="Helvetica" w:hAnsi="Helvetica" w:cs="Helvetica"/>
          <w:sz w:val="20"/>
        </w:rPr>
      </w:pPr>
    </w:p>
    <w:p w:rsidR="004F7941" w:rsidRDefault="00993B4F" w:rsidP="00A22D67">
      <w:pPr>
        <w:rPr>
          <w:rFonts w:ascii="Helvetica" w:hAnsi="Helvetica" w:cs="Helvetica"/>
          <w:sz w:val="20"/>
        </w:rPr>
      </w:pPr>
    </w:p>
    <w:p w:rsidR="004F7941" w:rsidRDefault="00993B4F" w:rsidP="00A22D67">
      <w:pPr>
        <w:rPr>
          <w:rFonts w:ascii="Helvetica" w:hAnsi="Helvetica" w:cs="Helvetica"/>
          <w:sz w:val="20"/>
        </w:rPr>
      </w:pPr>
    </w:p>
    <w:p w:rsidR="0002773A" w:rsidRDefault="00993B4F" w:rsidP="00A22D67">
      <w:pPr>
        <w:rPr>
          <w:rFonts w:ascii="Helvetica" w:hAnsi="Helvetica" w:cs="Helvetica"/>
          <w:sz w:val="20"/>
        </w:rPr>
      </w:pPr>
    </w:p>
    <w:p w:rsidR="00BC42E4" w:rsidRDefault="00993B4F" w:rsidP="00BC42E4">
      <w:pPr>
        <w:overflowPunct/>
        <w:textAlignment w:val="auto"/>
        <w:rPr>
          <w:rFonts w:ascii="Helvetica-Bold" w:hAnsi="Helvetica-Bold" w:cs="Helvetica-Bold"/>
          <w:b/>
          <w:bCs/>
          <w:sz w:val="20"/>
        </w:rPr>
      </w:pPr>
    </w:p>
    <w:p w:rsidR="00BC42E4" w:rsidRDefault="00570A45" w:rsidP="00BC42E4">
      <w:pPr>
        <w:overflowPunct/>
        <w:textAlignment w:val="auto"/>
        <w:rPr>
          <w:rFonts w:ascii="Helvetica-Bold" w:hAnsi="Helvetica-Bold" w:cs="Helvetica-Bold"/>
          <w:b/>
          <w:bCs/>
          <w:sz w:val="20"/>
        </w:rPr>
      </w:pPr>
      <w:r>
        <w:rPr>
          <w:rFonts w:ascii="Helvetica-Bold" w:hAnsi="Helvetica-Bold" w:cs="Helvetica-Bold"/>
          <w:b/>
          <w:bCs/>
          <w:sz w:val="20"/>
        </w:rPr>
        <w:t xml:space="preserve">Hinweise zur mündlichen Prüfung - GymPO vom 31.07.2009 </w:t>
      </w:r>
      <w:r w:rsidR="00955929">
        <w:rPr>
          <w:rFonts w:ascii="Helvetica-Bold" w:hAnsi="Helvetica-Bold" w:cs="Helvetica-Bold"/>
          <w:b/>
          <w:bCs/>
          <w:sz w:val="20"/>
        </w:rPr>
        <w:t>Hebräisch</w:t>
      </w:r>
    </w:p>
    <w:p w:rsidR="00BC42E4" w:rsidRDefault="00570A45" w:rsidP="00BC42E4">
      <w:pPr>
        <w:overflowPunct/>
        <w:textAlignment w:val="auto"/>
        <w:rPr>
          <w:rFonts w:ascii="Helvetica-Bold" w:hAnsi="Helvetica-Bold" w:cs="Helvetica-Bold"/>
          <w:b/>
          <w:bCs/>
          <w:sz w:val="20"/>
        </w:rPr>
      </w:pPr>
      <w:r w:rsidRPr="009C3822">
        <w:rPr>
          <w:rFonts w:ascii="Helvetica-Bold" w:hAnsi="Helvetica-Bold" w:cs="Helvetica-Bold"/>
          <w:b/>
          <w:bCs/>
          <w:sz w:val="20"/>
        </w:rPr>
        <w:t>Anforderungen in der Prüfung</w:t>
      </w:r>
    </w:p>
    <w:p w:rsidR="005A7091" w:rsidRDefault="005A7091" w:rsidP="00BC42E4">
      <w:pPr>
        <w:overflowPunct/>
        <w:textAlignment w:val="auto"/>
        <w:rPr>
          <w:rFonts w:ascii="Helvetica-Bold" w:hAnsi="Helvetica-Bold" w:cs="Helvetica-Bold"/>
          <w:b/>
          <w:bCs/>
          <w:sz w:val="20"/>
        </w:rPr>
      </w:pPr>
    </w:p>
    <w:p w:rsidR="00EC08D2" w:rsidRPr="00EC08D2" w:rsidRDefault="00EC08D2" w:rsidP="00EC08D2">
      <w:pPr>
        <w:shd w:val="clear" w:color="auto" w:fill="FFFFFF"/>
        <w:overflowPunct/>
        <w:autoSpaceDE/>
        <w:autoSpaceDN/>
        <w:adjustRightInd/>
        <w:spacing w:before="100" w:beforeAutospacing="1" w:after="100" w:afterAutospacing="1"/>
        <w:jc w:val="center"/>
        <w:textAlignment w:val="auto"/>
        <w:rPr>
          <w:color w:val="000000"/>
          <w:sz w:val="16"/>
          <w:szCs w:val="16"/>
        </w:rPr>
      </w:pPr>
      <w:r w:rsidRPr="00EC08D2">
        <w:rPr>
          <w:color w:val="000000"/>
          <w:sz w:val="16"/>
          <w:szCs w:val="16"/>
        </w:rPr>
        <w:t>Hebräisch (Beifach)</w:t>
      </w:r>
    </w:p>
    <w:p w:rsidR="00EC08D2" w:rsidRPr="00EC08D2" w:rsidRDefault="00EC08D2" w:rsidP="00EC08D2">
      <w:pPr>
        <w:shd w:val="clear" w:color="auto" w:fill="FFFFFF"/>
        <w:overflowPunct/>
        <w:autoSpaceDE/>
        <w:autoSpaceDN/>
        <w:adjustRightInd/>
        <w:spacing w:before="100" w:beforeAutospacing="1" w:after="100" w:afterAutospacing="1"/>
        <w:textAlignment w:val="auto"/>
        <w:rPr>
          <w:color w:val="000000"/>
          <w:sz w:val="16"/>
          <w:szCs w:val="16"/>
        </w:rPr>
      </w:pPr>
      <w:r w:rsidRPr="00EC08D2">
        <w:rPr>
          <w:color w:val="000000"/>
          <w:sz w:val="16"/>
          <w:szCs w:val="16"/>
        </w:rPr>
        <w:t>Die Studienabsolventinnen und -absolventen verfügen über vernetzte Kompetenzen in der Fachwissenschaft, Fachdidaktik und Schulpraxis. Fundiertes Wissen und Können in den genannten Bereichen der ersten Phase der Lehrerbildung sind die Basis für die zweite Phase an den Seminaren sowie für die anschließende Phase der Berufsausübung, in der die erworbenen Kompetenzen im Sinne des lebenslangen Lernens kontinuierlich weiterentwickelt werden. Der schulische Unterricht erfordert es, die erworbenen Kompetenzen schülerbezogen einzusetzen.</w:t>
      </w:r>
    </w:p>
    <w:p w:rsidR="00EC08D2" w:rsidRPr="00EC08D2" w:rsidRDefault="00EC08D2" w:rsidP="00EC08D2">
      <w:pPr>
        <w:shd w:val="clear" w:color="auto" w:fill="FFFFFF"/>
        <w:overflowPunct/>
        <w:autoSpaceDE/>
        <w:autoSpaceDN/>
        <w:adjustRightInd/>
        <w:spacing w:before="100" w:beforeAutospacing="1" w:after="100" w:afterAutospacing="1"/>
        <w:textAlignment w:val="auto"/>
        <w:rPr>
          <w:color w:val="000000"/>
          <w:sz w:val="16"/>
          <w:szCs w:val="16"/>
        </w:rPr>
      </w:pPr>
      <w:r w:rsidRPr="00EC08D2">
        <w:rPr>
          <w:color w:val="000000"/>
          <w:sz w:val="16"/>
          <w:szCs w:val="16"/>
        </w:rPr>
        <w:t>Studienvoraussetzung (kann auch durch Reifezeugnis nachgewiesen werden)</w:t>
      </w:r>
    </w:p>
    <w:p w:rsidR="00EC08D2" w:rsidRPr="00EC08D2" w:rsidRDefault="00EC08D2" w:rsidP="00EC08D2">
      <w:pPr>
        <w:shd w:val="clear" w:color="auto" w:fill="FFFFFF"/>
        <w:overflowPunct/>
        <w:autoSpaceDE/>
        <w:autoSpaceDN/>
        <w:adjustRightInd/>
        <w:spacing w:before="100" w:beforeAutospacing="1" w:after="100" w:afterAutospacing="1"/>
        <w:textAlignment w:val="auto"/>
        <w:rPr>
          <w:color w:val="000000"/>
          <w:sz w:val="16"/>
          <w:szCs w:val="16"/>
        </w:rPr>
      </w:pPr>
      <w:r w:rsidRPr="00EC08D2">
        <w:rPr>
          <w:color w:val="000000"/>
          <w:sz w:val="16"/>
          <w:szCs w:val="16"/>
        </w:rPr>
        <w:t>Hebraicum</w:t>
      </w:r>
    </w:p>
    <w:p w:rsidR="00EC08D2" w:rsidRPr="00EC08D2" w:rsidRDefault="00EC08D2" w:rsidP="00EC08D2">
      <w:pPr>
        <w:shd w:val="clear" w:color="auto" w:fill="FFFFFF"/>
        <w:overflowPunct/>
        <w:autoSpaceDE/>
        <w:autoSpaceDN/>
        <w:adjustRightInd/>
        <w:textAlignment w:val="auto"/>
        <w:rPr>
          <w:color w:val="000000"/>
          <w:sz w:val="16"/>
          <w:szCs w:val="16"/>
        </w:rPr>
      </w:pPr>
      <w:r w:rsidRPr="00EC08D2">
        <w:rPr>
          <w:color w:val="000000"/>
          <w:sz w:val="16"/>
          <w:szCs w:val="16"/>
        </w:rPr>
        <w:t>1</w:t>
      </w:r>
      <w:r w:rsidRPr="00EC08D2">
        <w:rPr>
          <w:color w:val="000000"/>
          <w:sz w:val="16"/>
          <w:szCs w:val="16"/>
        </w:rPr>
        <w:tab/>
        <w:t>Kompetenzen</w:t>
      </w:r>
    </w:p>
    <w:p w:rsidR="00EC08D2" w:rsidRPr="00EC08D2" w:rsidRDefault="00EC08D2" w:rsidP="00EC08D2">
      <w:pPr>
        <w:shd w:val="clear" w:color="auto" w:fill="FFFFFF"/>
        <w:overflowPunct/>
        <w:autoSpaceDE/>
        <w:autoSpaceDN/>
        <w:adjustRightInd/>
        <w:ind w:left="720"/>
        <w:textAlignment w:val="auto"/>
        <w:rPr>
          <w:color w:val="000000"/>
          <w:sz w:val="16"/>
          <w:szCs w:val="16"/>
        </w:rPr>
      </w:pPr>
      <w:r w:rsidRPr="00EC08D2">
        <w:rPr>
          <w:color w:val="000000"/>
          <w:sz w:val="16"/>
          <w:szCs w:val="16"/>
        </w:rPr>
        <w:t>Die Studienabsolventinnen und -absolventen sind in der Lage,</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 xml:space="preserve">1.1      </w:t>
      </w:r>
      <w:r w:rsidRPr="00EC08D2">
        <w:rPr>
          <w:color w:val="000000"/>
          <w:sz w:val="16"/>
          <w:szCs w:val="16"/>
        </w:rPr>
        <w:tab/>
        <w:t>althebräische Prosatexte ohne Hilfsmittel, althebräische poetische Texte mit Hilfsmitteln zielsprachenorientiert zu übersetzen,</w:t>
      </w:r>
    </w:p>
    <w:p w:rsidR="00EC08D2" w:rsidRPr="00EC08D2" w:rsidRDefault="00EC08D2" w:rsidP="00EC08D2">
      <w:pPr>
        <w:shd w:val="clear" w:color="auto" w:fill="FFFFFF"/>
        <w:overflowPunct/>
        <w:autoSpaceDE/>
        <w:autoSpaceDN/>
        <w:adjustRightInd/>
        <w:textAlignment w:val="auto"/>
        <w:rPr>
          <w:color w:val="000000"/>
          <w:sz w:val="16"/>
          <w:szCs w:val="16"/>
        </w:rPr>
      </w:pPr>
      <w:r w:rsidRPr="00EC08D2">
        <w:rPr>
          <w:color w:val="000000"/>
          <w:sz w:val="16"/>
          <w:szCs w:val="16"/>
        </w:rPr>
        <w:t>1.2</w:t>
      </w:r>
      <w:r w:rsidRPr="00EC08D2">
        <w:rPr>
          <w:color w:val="000000"/>
          <w:sz w:val="16"/>
          <w:szCs w:val="16"/>
        </w:rPr>
        <w:tab/>
        <w:t>Formenlehre und Syntax des biblischen Hebräisch - auch sprachgeschichtlich - zu beschreiben,</w:t>
      </w:r>
    </w:p>
    <w:p w:rsidR="00EC08D2" w:rsidRPr="00EC08D2" w:rsidRDefault="00EC08D2" w:rsidP="00EC08D2">
      <w:pPr>
        <w:shd w:val="clear" w:color="auto" w:fill="FFFFFF"/>
        <w:overflowPunct/>
        <w:autoSpaceDE/>
        <w:autoSpaceDN/>
        <w:adjustRightInd/>
        <w:textAlignment w:val="auto"/>
        <w:rPr>
          <w:color w:val="000000"/>
          <w:sz w:val="16"/>
          <w:szCs w:val="16"/>
        </w:rPr>
      </w:pPr>
      <w:r w:rsidRPr="00EC08D2">
        <w:rPr>
          <w:color w:val="000000"/>
          <w:sz w:val="16"/>
          <w:szCs w:val="16"/>
        </w:rPr>
        <w:t>1.3</w:t>
      </w:r>
      <w:r w:rsidRPr="00EC08D2">
        <w:rPr>
          <w:color w:val="000000"/>
          <w:sz w:val="16"/>
          <w:szCs w:val="16"/>
        </w:rPr>
        <w:tab/>
        <w:t>einen Konsonantentext aus dem Bereich der althebräischen Prosa korrekt zu vokalisieren,</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1.4</w:t>
      </w:r>
      <w:r w:rsidRPr="00EC08D2">
        <w:rPr>
          <w:color w:val="000000"/>
          <w:sz w:val="16"/>
          <w:szCs w:val="16"/>
        </w:rPr>
        <w:tab/>
        <w:t>die Unterschiede zwischen unvokalisiertem Konsonantentext und vokalisiertem (masoretischen) Text historisch zu erläutern,</w:t>
      </w:r>
    </w:p>
    <w:p w:rsidR="00EC08D2" w:rsidRPr="00EC08D2" w:rsidRDefault="00EC08D2" w:rsidP="00EC08D2">
      <w:pPr>
        <w:shd w:val="clear" w:color="auto" w:fill="FFFFFF"/>
        <w:overflowPunct/>
        <w:autoSpaceDE/>
        <w:autoSpaceDN/>
        <w:adjustRightInd/>
        <w:textAlignment w:val="auto"/>
        <w:rPr>
          <w:color w:val="000000"/>
          <w:sz w:val="16"/>
          <w:szCs w:val="16"/>
        </w:rPr>
      </w:pPr>
      <w:r w:rsidRPr="00EC08D2">
        <w:rPr>
          <w:color w:val="000000"/>
          <w:sz w:val="16"/>
          <w:szCs w:val="16"/>
        </w:rPr>
        <w:t>1.5</w:t>
      </w:r>
      <w:r w:rsidRPr="00EC08D2">
        <w:rPr>
          <w:color w:val="000000"/>
          <w:sz w:val="16"/>
          <w:szCs w:val="16"/>
        </w:rPr>
        <w:tab/>
        <w:t>die geschichtliche Entwicklung der hebräischen Sprache in ihren Hauptepochen darzustellen und zu erläutern,</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1.6</w:t>
      </w:r>
      <w:r w:rsidRPr="00EC08D2">
        <w:rPr>
          <w:color w:val="000000"/>
          <w:sz w:val="16"/>
          <w:szCs w:val="16"/>
        </w:rPr>
        <w:tab/>
        <w:t>hebräische Texte in ihren historischen, geistesgeschichtlichen, kulturellen und gesellschaftlichen Hintergrund einzuordnen,</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1.7</w:t>
      </w:r>
      <w:r w:rsidRPr="00EC08D2">
        <w:rPr>
          <w:color w:val="000000"/>
          <w:sz w:val="16"/>
          <w:szCs w:val="16"/>
        </w:rPr>
        <w:tab/>
        <w:t>die Geschichte der Überlieferung des hebräischen Bibeltextes (Masora) in ihren Grundzügen und Hauptvertretern darzustellen und zu erläutern,</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1.8</w:t>
      </w:r>
      <w:r w:rsidRPr="00EC08D2">
        <w:rPr>
          <w:color w:val="000000"/>
          <w:sz w:val="16"/>
          <w:szCs w:val="16"/>
        </w:rPr>
        <w:tab/>
        <w:t>fachwissenschaftliche Kenntnisse sowohl im Sprach- als auch im Lektüreunterricht in Unterrichtskonzepte umzusetzen.</w:t>
      </w:r>
    </w:p>
    <w:p w:rsidR="00EC08D2" w:rsidRPr="00EC08D2" w:rsidRDefault="00EC08D2" w:rsidP="00EC08D2">
      <w:pPr>
        <w:shd w:val="clear" w:color="auto" w:fill="FFFFFF"/>
        <w:overflowPunct/>
        <w:autoSpaceDE/>
        <w:autoSpaceDN/>
        <w:adjustRightInd/>
        <w:textAlignment w:val="auto"/>
        <w:rPr>
          <w:color w:val="000000"/>
          <w:sz w:val="16"/>
          <w:szCs w:val="16"/>
        </w:rPr>
      </w:pPr>
    </w:p>
    <w:p w:rsidR="00EC08D2" w:rsidRPr="00EC08D2" w:rsidRDefault="00EC08D2" w:rsidP="00EC08D2">
      <w:pPr>
        <w:shd w:val="clear" w:color="auto" w:fill="FFFFFF"/>
        <w:overflowPunct/>
        <w:autoSpaceDE/>
        <w:autoSpaceDN/>
        <w:adjustRightInd/>
        <w:textAlignment w:val="auto"/>
        <w:rPr>
          <w:color w:val="000000"/>
          <w:sz w:val="16"/>
          <w:szCs w:val="16"/>
        </w:rPr>
      </w:pPr>
      <w:r w:rsidRPr="00EC08D2">
        <w:rPr>
          <w:color w:val="000000"/>
          <w:sz w:val="16"/>
          <w:szCs w:val="16"/>
        </w:rPr>
        <w:t>2</w:t>
      </w:r>
      <w:r w:rsidRPr="00EC08D2">
        <w:rPr>
          <w:color w:val="000000"/>
          <w:sz w:val="16"/>
          <w:szCs w:val="16"/>
        </w:rPr>
        <w:tab/>
        <w:t>Verbindliche Studieninhalte</w:t>
      </w:r>
    </w:p>
    <w:p w:rsidR="00EC08D2" w:rsidRPr="00EC08D2" w:rsidRDefault="00EC08D2" w:rsidP="00EC08D2">
      <w:pPr>
        <w:shd w:val="clear" w:color="auto" w:fill="FFFFFF"/>
        <w:overflowPunct/>
        <w:autoSpaceDE/>
        <w:autoSpaceDN/>
        <w:adjustRightInd/>
        <w:textAlignment w:val="auto"/>
        <w:rPr>
          <w:color w:val="000000"/>
          <w:sz w:val="16"/>
          <w:szCs w:val="16"/>
        </w:rPr>
      </w:pPr>
      <w:r w:rsidRPr="00EC08D2">
        <w:rPr>
          <w:color w:val="000000"/>
          <w:sz w:val="16"/>
          <w:szCs w:val="16"/>
        </w:rPr>
        <w:t>2.1</w:t>
      </w:r>
      <w:r w:rsidRPr="00EC08D2">
        <w:rPr>
          <w:color w:val="000000"/>
          <w:sz w:val="16"/>
          <w:szCs w:val="16"/>
        </w:rPr>
        <w:tab/>
        <w:t>Sprache</w:t>
      </w:r>
    </w:p>
    <w:p w:rsidR="00EC08D2" w:rsidRPr="00EC08D2" w:rsidRDefault="00EC08D2" w:rsidP="00EC08D2">
      <w:pPr>
        <w:shd w:val="clear" w:color="auto" w:fill="FFFFFF"/>
        <w:overflowPunct/>
        <w:autoSpaceDE/>
        <w:autoSpaceDN/>
        <w:adjustRightInd/>
        <w:textAlignment w:val="auto"/>
        <w:rPr>
          <w:color w:val="000000"/>
          <w:sz w:val="16"/>
          <w:szCs w:val="16"/>
        </w:rPr>
      </w:pPr>
      <w:r w:rsidRPr="00EC08D2">
        <w:rPr>
          <w:color w:val="000000"/>
          <w:sz w:val="16"/>
          <w:szCs w:val="16"/>
        </w:rPr>
        <w:t>2.1.1</w:t>
      </w:r>
      <w:r w:rsidRPr="00EC08D2">
        <w:rPr>
          <w:color w:val="000000"/>
          <w:sz w:val="16"/>
          <w:szCs w:val="16"/>
        </w:rPr>
        <w:tab/>
        <w:t>Aneignung eines für die Lektüre der hebräischen Bibel notwendigen Wortschatzes</w:t>
      </w:r>
    </w:p>
    <w:p w:rsidR="00EC08D2" w:rsidRPr="00EC08D2" w:rsidRDefault="00EC08D2" w:rsidP="00EC08D2">
      <w:pPr>
        <w:shd w:val="clear" w:color="auto" w:fill="FFFFFF"/>
        <w:overflowPunct/>
        <w:autoSpaceDE/>
        <w:autoSpaceDN/>
        <w:adjustRightInd/>
        <w:textAlignment w:val="auto"/>
        <w:rPr>
          <w:color w:val="000000"/>
          <w:sz w:val="16"/>
          <w:szCs w:val="16"/>
        </w:rPr>
      </w:pPr>
      <w:r w:rsidRPr="00EC08D2">
        <w:rPr>
          <w:color w:val="000000"/>
          <w:sz w:val="16"/>
          <w:szCs w:val="16"/>
        </w:rPr>
        <w:t>2.1.2</w:t>
      </w:r>
      <w:r w:rsidRPr="00EC08D2">
        <w:rPr>
          <w:color w:val="000000"/>
          <w:sz w:val="16"/>
          <w:szCs w:val="16"/>
        </w:rPr>
        <w:tab/>
        <w:t>Elemente der Sprache und ihre Funktionen (Phonologie, Morphologie, Syntax)</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2.1.3</w:t>
      </w:r>
      <w:r w:rsidRPr="00EC08D2">
        <w:rPr>
          <w:color w:val="000000"/>
          <w:sz w:val="16"/>
          <w:szCs w:val="16"/>
        </w:rPr>
        <w:tab/>
        <w:t>Grundkenntnisse der historischen Laut- und Formenlehre und der geschichtlichen Perioden der hebräischen Sprache (Althebräisch/Kanaanäisch, Mittelhebräisch, Neuhebräisch/Ivrit)</w:t>
      </w:r>
    </w:p>
    <w:p w:rsidR="00EC08D2" w:rsidRPr="00EC08D2" w:rsidRDefault="00EC08D2" w:rsidP="00EC08D2">
      <w:pPr>
        <w:shd w:val="clear" w:color="auto" w:fill="FFFFFF"/>
        <w:overflowPunct/>
        <w:autoSpaceDE/>
        <w:autoSpaceDN/>
        <w:adjustRightInd/>
        <w:textAlignment w:val="auto"/>
        <w:rPr>
          <w:color w:val="000000"/>
          <w:sz w:val="16"/>
          <w:szCs w:val="16"/>
        </w:rPr>
      </w:pPr>
      <w:r w:rsidRPr="00EC08D2">
        <w:rPr>
          <w:color w:val="000000"/>
          <w:sz w:val="16"/>
          <w:szCs w:val="16"/>
        </w:rPr>
        <w:t>2.1.4</w:t>
      </w:r>
      <w:r w:rsidRPr="00EC08D2">
        <w:rPr>
          <w:color w:val="000000"/>
          <w:sz w:val="16"/>
          <w:szCs w:val="16"/>
        </w:rPr>
        <w:tab/>
        <w:t>Grundkenntnisse in einer weiteren semitischen Sprache, vorzugsweise im Aramäischen</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2.1.5</w:t>
      </w:r>
      <w:r w:rsidRPr="00EC08D2">
        <w:rPr>
          <w:color w:val="000000"/>
          <w:sz w:val="16"/>
          <w:szCs w:val="16"/>
        </w:rPr>
        <w:tab/>
        <w:t>Nachleben der hebräischen Sprache in den europäischen Sprachen, insbesondere im Deutschen oder im Jiddischen</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2.2</w:t>
      </w:r>
      <w:r w:rsidRPr="00EC08D2">
        <w:rPr>
          <w:color w:val="000000"/>
          <w:sz w:val="16"/>
          <w:szCs w:val="16"/>
        </w:rPr>
        <w:tab/>
        <w:t>Literatur</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2.2.1</w:t>
      </w:r>
      <w:r w:rsidRPr="00EC08D2">
        <w:rPr>
          <w:color w:val="000000"/>
          <w:sz w:val="16"/>
          <w:szCs w:val="16"/>
        </w:rPr>
        <w:tab/>
        <w:t>Auf eigener Lektüre beruhender Überblick über Texte aus den drei Teilen des biblischen Kanons (Tanak), einzelner nichtbiblischer Texte aus Qumran, zumindest eines Traktats der Mishna (zum Beispiel Pirqe Avot)</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2.2.2</w:t>
      </w:r>
      <w:r w:rsidRPr="00EC08D2">
        <w:rPr>
          <w:color w:val="000000"/>
          <w:sz w:val="16"/>
          <w:szCs w:val="16"/>
        </w:rPr>
        <w:tab/>
        <w:t>Grundkenntnisse der Epochen hebräischer Literatur</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2.2.3</w:t>
      </w:r>
      <w:r w:rsidRPr="00EC08D2">
        <w:rPr>
          <w:color w:val="000000"/>
          <w:sz w:val="16"/>
          <w:szCs w:val="16"/>
        </w:rPr>
        <w:tab/>
        <w:t>Kenntnis der wichtigsten hebräischen Prosa- und Dichtungsgattungen</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2.2.4</w:t>
      </w:r>
      <w:r w:rsidRPr="00EC08D2">
        <w:rPr>
          <w:color w:val="000000"/>
          <w:sz w:val="16"/>
          <w:szCs w:val="16"/>
        </w:rPr>
        <w:tab/>
        <w:t>Kenntnis textimmanenter und textexterner Methoden der Textinterpretation</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2.3</w:t>
      </w:r>
      <w:r w:rsidRPr="00EC08D2">
        <w:rPr>
          <w:color w:val="000000"/>
          <w:sz w:val="16"/>
          <w:szCs w:val="16"/>
        </w:rPr>
        <w:tab/>
        <w:t>Geschichte, Religion und Kultur</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2.3.1</w:t>
      </w:r>
      <w:r w:rsidRPr="00EC08D2">
        <w:rPr>
          <w:color w:val="000000"/>
          <w:sz w:val="16"/>
          <w:szCs w:val="16"/>
        </w:rPr>
        <w:tab/>
        <w:t>Grundkenntnisse der Geschichte der altorientalischen Reiche (Assyrer, Babylonier, Ägypter, Perser), der Griechen im Zeitalter des Hellenismus und der Römer</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2.3.2</w:t>
      </w:r>
      <w:r w:rsidRPr="00EC08D2">
        <w:rPr>
          <w:color w:val="000000"/>
          <w:sz w:val="16"/>
          <w:szCs w:val="16"/>
        </w:rPr>
        <w:tab/>
        <w:t>Grundkenntnisse der Religion Israels in vorexilischer und exilischer Zeit (Familienreligion, Kult, Prophetie)</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2.3.3</w:t>
      </w:r>
      <w:r w:rsidRPr="00EC08D2">
        <w:rPr>
          <w:color w:val="000000"/>
          <w:sz w:val="16"/>
          <w:szCs w:val="16"/>
        </w:rPr>
        <w:tab/>
        <w:t>Grundkenntnisse der Religion des Judentums im Zeitalter des Neuen Testaments (Pharisäer, Sadduzäer, Essener)</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2.3.4</w:t>
      </w:r>
      <w:r w:rsidRPr="00EC08D2">
        <w:rPr>
          <w:color w:val="000000"/>
          <w:sz w:val="16"/>
          <w:szCs w:val="16"/>
        </w:rPr>
        <w:tab/>
        <w:t>Grundkenntnisse der Entstehung des rabbinischen Judentums (Hillel, Schammai, Aqiba)</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2.3.5</w:t>
      </w:r>
      <w:r w:rsidRPr="00EC08D2">
        <w:rPr>
          <w:color w:val="000000"/>
          <w:sz w:val="16"/>
          <w:szCs w:val="16"/>
        </w:rPr>
        <w:tab/>
        <w:t>Grundkenntnisse des jüdischen Gemeinde- und Familienlebens (Jom kippur, Pesach, Sukkot, Bar Mizwa, Kaschrut)</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2.4</w:t>
      </w:r>
      <w:r w:rsidRPr="00EC08D2">
        <w:rPr>
          <w:color w:val="000000"/>
          <w:sz w:val="16"/>
          <w:szCs w:val="16"/>
        </w:rPr>
        <w:tab/>
        <w:t>Grundlagen der Fachdidaktik</w:t>
      </w:r>
      <w:hyperlink r:id="rId7" w:anchor="_XY_d653110e1661_text" w:history="1">
        <w:r w:rsidRPr="00EC08D2">
          <w:rPr>
            <w:color w:val="B00303"/>
            <w:sz w:val="16"/>
            <w:szCs w:val="16"/>
            <w:u w:val="single"/>
            <w:vertAlign w:val="superscript"/>
          </w:rPr>
          <w:t>7</w:t>
        </w:r>
      </w:hyperlink>
      <w:r w:rsidRPr="00EC08D2">
        <w:rPr>
          <w:color w:val="000000"/>
          <w:sz w:val="16"/>
          <w:szCs w:val="16"/>
        </w:rPr>
        <w:t>Die Studieninhalte orientieren sich an den Inhalten und Erfordernissen der Schulpraxis.</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2.4.1</w:t>
      </w:r>
      <w:r w:rsidRPr="00EC08D2">
        <w:rPr>
          <w:color w:val="000000"/>
          <w:sz w:val="16"/>
          <w:szCs w:val="16"/>
        </w:rPr>
        <w:tab/>
        <w:t>Bildungsstandards: Kompetenzen und Inhalte</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2.4.2</w:t>
      </w:r>
      <w:r w:rsidRPr="00EC08D2">
        <w:rPr>
          <w:color w:val="000000"/>
          <w:sz w:val="16"/>
          <w:szCs w:val="16"/>
        </w:rPr>
        <w:tab/>
        <w:t>Arbeit mit Lehrbüchern: Grammatikmodelle; Einführung von Grammatikphänomenen; Übungsformen; Textarbeit</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2.4.3</w:t>
      </w:r>
      <w:r w:rsidRPr="00EC08D2">
        <w:rPr>
          <w:color w:val="000000"/>
          <w:sz w:val="16"/>
          <w:szCs w:val="16"/>
        </w:rPr>
        <w:tab/>
        <w:t>Formen der Textarbeit: Textauswahl; Texter-schließungs- und Übersetzungsmethoden; Interpretationsverfahren</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2.4.4</w:t>
      </w:r>
      <w:r w:rsidRPr="00EC08D2">
        <w:rPr>
          <w:color w:val="000000"/>
          <w:sz w:val="16"/>
          <w:szCs w:val="16"/>
        </w:rPr>
        <w:tab/>
        <w:t>Interdependenz von Inhalten (Unterrichtsgegenstand), Lernzielen und Unterrichtsformen</w:t>
      </w: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p>
    <w:p w:rsidR="00EC08D2" w:rsidRPr="00EC08D2" w:rsidRDefault="00EC08D2" w:rsidP="00EC08D2">
      <w:pPr>
        <w:shd w:val="clear" w:color="auto" w:fill="FFFFFF"/>
        <w:overflowPunct/>
        <w:autoSpaceDE/>
        <w:autoSpaceDN/>
        <w:adjustRightInd/>
        <w:ind w:left="708" w:hanging="708"/>
        <w:textAlignment w:val="auto"/>
        <w:rPr>
          <w:color w:val="000000"/>
          <w:sz w:val="16"/>
          <w:szCs w:val="16"/>
        </w:rPr>
      </w:pPr>
      <w:r w:rsidRPr="00EC08D2">
        <w:rPr>
          <w:color w:val="000000"/>
          <w:sz w:val="16"/>
          <w:szCs w:val="16"/>
        </w:rPr>
        <w:t>3</w:t>
      </w:r>
      <w:r w:rsidRPr="00EC08D2">
        <w:rPr>
          <w:color w:val="000000"/>
          <w:sz w:val="16"/>
          <w:szCs w:val="16"/>
        </w:rPr>
        <w:tab/>
        <w:t>Durchführung der Prüfung</w:t>
      </w:r>
    </w:p>
    <w:p w:rsidR="00955929" w:rsidRPr="00955929" w:rsidRDefault="00EC08D2" w:rsidP="00EC08D2">
      <w:pPr>
        <w:shd w:val="clear" w:color="auto" w:fill="FFFFFF"/>
        <w:overflowPunct/>
        <w:autoSpaceDE/>
        <w:autoSpaceDN/>
        <w:adjustRightInd/>
        <w:spacing w:before="100" w:beforeAutospacing="1" w:after="100" w:afterAutospacing="1"/>
        <w:ind w:left="720"/>
        <w:textAlignment w:val="auto"/>
        <w:rPr>
          <w:rFonts w:ascii="Verdana" w:hAnsi="Verdana" w:cs="Times New Roman"/>
          <w:color w:val="000000"/>
          <w:szCs w:val="24"/>
        </w:rPr>
      </w:pPr>
      <w:r w:rsidRPr="00EC08D2">
        <w:rPr>
          <w:color w:val="000000"/>
          <w:sz w:val="16"/>
          <w:szCs w:val="16"/>
        </w:rPr>
        <w:t>Die mündliche Prüfung dauert 45 Minuten. Die Bewerber wählen in Absprache mit ihren Prüfern zwei Schwerpunkthemen: einen Abschnitt aus den erzählenden Texten der hebräischen Bibel im Umfang von 12-15 Kapiteln (zum Beispiel Urgeschichte, Vätergeschichte, Josephsgeschichte, Exoduserzählung), einen Abschnitt von 20-50 Versen (je nach Schwierigkeit) aus den poetischen Texten der hebräischen Bibel (vorzugsweise den Psalmen). Die Prüfung der zwei Schwerpunktthemen (30 Minuten) erfasst die unter 1.1. und 1.2. aufgeführten sprachlichen, sprachwissenschaftlichen, literaturwissenschaftlichen und kulturwissenschaftlichen Kompetenzen. 15 Minuten der Prüfung beziehen sich auf Grundlagen- und Überblickwissen gemäß Kompetenzen und Studieninhalten.</w:t>
      </w:r>
    </w:p>
    <w:p w:rsidR="00955929" w:rsidRPr="00955929" w:rsidRDefault="00955929" w:rsidP="00955929">
      <w:pPr>
        <w:shd w:val="clear" w:color="auto" w:fill="FFFFFF"/>
        <w:overflowPunct/>
        <w:autoSpaceDE/>
        <w:autoSpaceDN/>
        <w:adjustRightInd/>
        <w:spacing w:before="100" w:beforeAutospacing="1" w:after="100" w:afterAutospacing="1"/>
        <w:ind w:left="720"/>
        <w:textAlignment w:val="auto"/>
        <w:rPr>
          <w:rFonts w:ascii="Verdana" w:hAnsi="Verdana" w:cs="Times New Roman"/>
          <w:color w:val="000000"/>
          <w:szCs w:val="24"/>
        </w:rPr>
      </w:pPr>
      <w:bookmarkStart w:id="2" w:name="_XY_d653110e1661"/>
      <w:bookmarkEnd w:id="2"/>
    </w:p>
    <w:p w:rsidR="00160650" w:rsidRDefault="00993B4F" w:rsidP="00BC42E4">
      <w:pPr>
        <w:overflowPunct/>
        <w:textAlignment w:val="auto"/>
        <w:rPr>
          <w:rFonts w:ascii="Helvetica-Bold" w:hAnsi="Helvetica-Bold" w:cs="Helvetica-Bold"/>
          <w:b/>
          <w:bCs/>
          <w:sz w:val="20"/>
        </w:rPr>
      </w:pPr>
    </w:p>
    <w:p w:rsidR="00955929" w:rsidRDefault="00955929" w:rsidP="00BC42E4">
      <w:pPr>
        <w:overflowPunct/>
        <w:textAlignment w:val="auto"/>
        <w:rPr>
          <w:rFonts w:ascii="Helvetica-Bold" w:hAnsi="Helvetica-Bold" w:cs="Helvetica-Bold"/>
          <w:b/>
          <w:bCs/>
          <w:sz w:val="20"/>
        </w:rPr>
      </w:pPr>
    </w:p>
    <w:p w:rsidR="00B06379" w:rsidRPr="00160650" w:rsidRDefault="00993B4F" w:rsidP="00BC42E4">
      <w:pPr>
        <w:overflowPunct/>
        <w:textAlignment w:val="auto"/>
        <w:rPr>
          <w:rFonts w:ascii="Times New Roman" w:hAnsi="Times New Roman" w:cs="Times New Roman"/>
          <w:b/>
          <w:bCs/>
          <w:sz w:val="19"/>
          <w:szCs w:val="19"/>
        </w:rPr>
      </w:pPr>
    </w:p>
    <w:sectPr w:rsidR="00B06379" w:rsidRPr="00160650" w:rsidSect="00A22D67">
      <w:headerReference w:type="even" r:id="rId8"/>
      <w:headerReference w:type="default" r:id="rId9"/>
      <w:footerReference w:type="even" r:id="rId10"/>
      <w:footerReference w:type="default" r:id="rId11"/>
      <w:headerReference w:type="first" r:id="rId12"/>
      <w:footerReference w:type="first" r:id="rId13"/>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948" w:rsidRDefault="00570A45">
      <w:r>
        <w:separator/>
      </w:r>
    </w:p>
  </w:endnote>
  <w:endnote w:type="continuationSeparator" w:id="0">
    <w:p w:rsidR="005B5948" w:rsidRDefault="0057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10B" w:rsidRDefault="00A551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10B" w:rsidRDefault="00A5510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10B" w:rsidRDefault="00A551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948" w:rsidRDefault="00570A45">
      <w:r>
        <w:separator/>
      </w:r>
    </w:p>
  </w:footnote>
  <w:footnote w:type="continuationSeparator" w:id="0">
    <w:p w:rsidR="005B5948" w:rsidRDefault="00570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570A4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993B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993B4F">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10B" w:rsidRDefault="00A5510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45"/>
    <w:rsid w:val="005015F8"/>
    <w:rsid w:val="00570A45"/>
    <w:rsid w:val="005A7091"/>
    <w:rsid w:val="005B5948"/>
    <w:rsid w:val="00955929"/>
    <w:rsid w:val="00993B4F"/>
    <w:rsid w:val="00A5510B"/>
    <w:rsid w:val="00DE6E07"/>
    <w:rsid w:val="00EC08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D3A2A29-8C64-42CB-AA16-EACF97D4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 w:type="paragraph" w:styleId="StandardWeb">
    <w:name w:val="Normal (Web)"/>
    <w:basedOn w:val="Standard"/>
    <w:uiPriority w:val="99"/>
    <w:semiHidden/>
    <w:unhideWhenUsed/>
    <w:rsid w:val="00B06379"/>
    <w:pPr>
      <w:overflowPunct/>
      <w:autoSpaceDE/>
      <w:autoSpaceDN/>
      <w:adjustRightInd/>
      <w:spacing w:before="100" w:beforeAutospacing="1" w:after="100" w:afterAutospacing="1"/>
      <w:textAlignment w:val="auto"/>
    </w:pPr>
    <w:rPr>
      <w:rFonts w:ascii="Times New Roman" w:hAnsi="Times New Roman" w:cs="Times New Roman"/>
      <w:szCs w:val="24"/>
    </w:rPr>
  </w:style>
  <w:style w:type="character" w:styleId="Hyperlink">
    <w:name w:val="Hyperlink"/>
    <w:basedOn w:val="Absatz-Standardschriftart"/>
    <w:uiPriority w:val="99"/>
    <w:semiHidden/>
    <w:unhideWhenUsed/>
    <w:rsid w:val="00160650"/>
    <w:rPr>
      <w:strike w:val="0"/>
      <w:dstrike w:val="0"/>
      <w:color w:val="B0030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379665">
      <w:bodyDiv w:val="1"/>
      <w:marLeft w:val="0"/>
      <w:marRight w:val="0"/>
      <w:marTop w:val="0"/>
      <w:marBottom w:val="0"/>
      <w:divBdr>
        <w:top w:val="none" w:sz="0" w:space="0" w:color="auto"/>
        <w:left w:val="none" w:sz="0" w:space="0" w:color="auto"/>
        <w:bottom w:val="none" w:sz="0" w:space="0" w:color="auto"/>
        <w:right w:val="none" w:sz="0" w:space="0" w:color="auto"/>
      </w:divBdr>
      <w:divsChild>
        <w:div w:id="1138034263">
          <w:marLeft w:val="0"/>
          <w:marRight w:val="0"/>
          <w:marTop w:val="300"/>
          <w:marBottom w:val="0"/>
          <w:divBdr>
            <w:top w:val="none" w:sz="0" w:space="0" w:color="auto"/>
            <w:left w:val="none" w:sz="0" w:space="0" w:color="auto"/>
            <w:bottom w:val="none" w:sz="0" w:space="0" w:color="auto"/>
            <w:right w:val="none" w:sz="0" w:space="0" w:color="auto"/>
          </w:divBdr>
          <w:divsChild>
            <w:div w:id="2143233018">
              <w:marLeft w:val="0"/>
              <w:marRight w:val="0"/>
              <w:marTop w:val="0"/>
              <w:marBottom w:val="0"/>
              <w:divBdr>
                <w:top w:val="none" w:sz="0" w:space="0" w:color="auto"/>
                <w:left w:val="none" w:sz="0" w:space="0" w:color="auto"/>
                <w:bottom w:val="none" w:sz="0" w:space="0" w:color="auto"/>
                <w:right w:val="none" w:sz="0" w:space="0" w:color="auto"/>
              </w:divBdr>
              <w:divsChild>
                <w:div w:id="815217845">
                  <w:marLeft w:val="0"/>
                  <w:marRight w:val="0"/>
                  <w:marTop w:val="0"/>
                  <w:marBottom w:val="0"/>
                  <w:divBdr>
                    <w:top w:val="none" w:sz="0" w:space="0" w:color="auto"/>
                    <w:left w:val="none" w:sz="0" w:space="0" w:color="auto"/>
                    <w:bottom w:val="none" w:sz="0" w:space="0" w:color="auto"/>
                    <w:right w:val="none" w:sz="0" w:space="0" w:color="auto"/>
                  </w:divBdr>
                  <w:divsChild>
                    <w:div w:id="465508770">
                      <w:marLeft w:val="405"/>
                      <w:marRight w:val="75"/>
                      <w:marTop w:val="0"/>
                      <w:marBottom w:val="0"/>
                      <w:divBdr>
                        <w:top w:val="none" w:sz="0" w:space="0" w:color="auto"/>
                        <w:left w:val="none" w:sz="0" w:space="0" w:color="auto"/>
                        <w:bottom w:val="none" w:sz="0" w:space="0" w:color="auto"/>
                        <w:right w:val="none" w:sz="0" w:space="0" w:color="auto"/>
                      </w:divBdr>
                      <w:divsChild>
                        <w:div w:id="14440342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040361">
      <w:bodyDiv w:val="1"/>
      <w:marLeft w:val="0"/>
      <w:marRight w:val="0"/>
      <w:marTop w:val="0"/>
      <w:marBottom w:val="0"/>
      <w:divBdr>
        <w:top w:val="none" w:sz="0" w:space="0" w:color="auto"/>
        <w:left w:val="none" w:sz="0" w:space="0" w:color="auto"/>
        <w:bottom w:val="none" w:sz="0" w:space="0" w:color="auto"/>
        <w:right w:val="none" w:sz="0" w:space="0" w:color="auto"/>
      </w:divBdr>
    </w:div>
    <w:div w:id="1418939756">
      <w:bodyDiv w:val="1"/>
      <w:marLeft w:val="0"/>
      <w:marRight w:val="0"/>
      <w:marTop w:val="0"/>
      <w:marBottom w:val="0"/>
      <w:divBdr>
        <w:top w:val="none" w:sz="0" w:space="0" w:color="auto"/>
        <w:left w:val="none" w:sz="0" w:space="0" w:color="auto"/>
        <w:bottom w:val="none" w:sz="0" w:space="0" w:color="auto"/>
        <w:right w:val="none" w:sz="0" w:space="0" w:color="auto"/>
      </w:divBdr>
    </w:div>
    <w:div w:id="1702246194">
      <w:bodyDiv w:val="1"/>
      <w:marLeft w:val="0"/>
      <w:marRight w:val="0"/>
      <w:marTop w:val="0"/>
      <w:marBottom w:val="0"/>
      <w:divBdr>
        <w:top w:val="none" w:sz="0" w:space="0" w:color="auto"/>
        <w:left w:val="none" w:sz="0" w:space="0" w:color="auto"/>
        <w:bottom w:val="none" w:sz="0" w:space="0" w:color="auto"/>
        <w:right w:val="none" w:sz="0" w:space="0" w:color="auto"/>
      </w:divBdr>
      <w:divsChild>
        <w:div w:id="522128798">
          <w:marLeft w:val="0"/>
          <w:marRight w:val="0"/>
          <w:marTop w:val="300"/>
          <w:marBottom w:val="0"/>
          <w:divBdr>
            <w:top w:val="none" w:sz="0" w:space="0" w:color="auto"/>
            <w:left w:val="none" w:sz="0" w:space="0" w:color="auto"/>
            <w:bottom w:val="none" w:sz="0" w:space="0" w:color="auto"/>
            <w:right w:val="none" w:sz="0" w:space="0" w:color="auto"/>
          </w:divBdr>
          <w:divsChild>
            <w:div w:id="1687292486">
              <w:marLeft w:val="0"/>
              <w:marRight w:val="0"/>
              <w:marTop w:val="0"/>
              <w:marBottom w:val="0"/>
              <w:divBdr>
                <w:top w:val="none" w:sz="0" w:space="0" w:color="auto"/>
                <w:left w:val="none" w:sz="0" w:space="0" w:color="auto"/>
                <w:bottom w:val="none" w:sz="0" w:space="0" w:color="auto"/>
                <w:right w:val="none" w:sz="0" w:space="0" w:color="auto"/>
              </w:divBdr>
              <w:divsChild>
                <w:div w:id="1750032599">
                  <w:marLeft w:val="0"/>
                  <w:marRight w:val="0"/>
                  <w:marTop w:val="0"/>
                  <w:marBottom w:val="0"/>
                  <w:divBdr>
                    <w:top w:val="none" w:sz="0" w:space="0" w:color="auto"/>
                    <w:left w:val="none" w:sz="0" w:space="0" w:color="auto"/>
                    <w:bottom w:val="none" w:sz="0" w:space="0" w:color="auto"/>
                    <w:right w:val="none" w:sz="0" w:space="0" w:color="auto"/>
                  </w:divBdr>
                  <w:divsChild>
                    <w:div w:id="121001439">
                      <w:marLeft w:val="405"/>
                      <w:marRight w:val="75"/>
                      <w:marTop w:val="0"/>
                      <w:marBottom w:val="0"/>
                      <w:divBdr>
                        <w:top w:val="none" w:sz="0" w:space="0" w:color="auto"/>
                        <w:left w:val="none" w:sz="0" w:space="0" w:color="auto"/>
                        <w:bottom w:val="none" w:sz="0" w:space="0" w:color="auto"/>
                        <w:right w:val="none" w:sz="0" w:space="0" w:color="auto"/>
                      </w:divBdr>
                      <w:divsChild>
                        <w:div w:id="197174451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landesrecht-bw.de/jportal/portal/t/d3a/page/bsbawueprod.psml/action/portlets.jw.MainAction?p1=1c&amp;eventSubmit_doNavigate=searchInSubtreeTOC&amp;showdoccase=1&amp;doc.hl=0&amp;doc.id=jlr-GymLehrPr1VBW2009V1AnlageG&amp;doc.part=G&amp;toc.poskey="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0623AC" w:rsidP="000623AC">
          <w:pPr>
            <w:pStyle w:val="48F45F8DFA114CA0ADE55168C4B524922"/>
          </w:pPr>
          <w:bookmarkStart w:id="0" w:name="_GoBack"/>
          <w:r>
            <w:rPr>
              <w:rStyle w:val="Platzhaltertext"/>
            </w:rPr>
            <w:t>Name eingeben</w:t>
          </w:r>
          <w:bookmarkEnd w:id="0"/>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0623AC" w:rsidP="000623AC">
          <w:pPr>
            <w:pStyle w:val="8133985C406E40939C55375DA0031AB42"/>
          </w:pPr>
          <w:r>
            <w:rPr>
              <w:rStyle w:val="Platzhaltertext"/>
            </w:rPr>
            <w:t>Vorname eingeben</w:t>
          </w:r>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7E1688" w:rsidRDefault="000623AC" w:rsidP="000623AC">
          <w:pPr>
            <w:pStyle w:val="6C6D2763C8F846ECB12F455619E556B92"/>
          </w:pPr>
          <w:r w:rsidRPr="004F2662">
            <w:rPr>
              <w:rStyle w:val="Platzhaltertext"/>
              <w:szCs w:val="24"/>
            </w:rPr>
            <w:t>wählen</w:t>
          </w:r>
        </w:p>
      </w:docPartBody>
    </w:docPart>
    <w:docPart>
      <w:docPartPr>
        <w:name w:val="6E9A112F04784F8BA27CC69F4A57A07A"/>
        <w:category>
          <w:name w:val="Allgemein"/>
          <w:gallery w:val="placeholder"/>
        </w:category>
        <w:types>
          <w:type w:val="bbPlcHdr"/>
        </w:types>
        <w:behaviors>
          <w:behavior w:val="content"/>
        </w:behaviors>
        <w:guid w:val="{68684493-ECC5-4672-ABD7-7D3547DD24C8}"/>
      </w:docPartPr>
      <w:docPartBody>
        <w:p w:rsidR="00C8266F" w:rsidRDefault="00E071E3" w:rsidP="00E071E3">
          <w:pPr>
            <w:pStyle w:val="6E9A112F04784F8BA27CC69F4A57A07A"/>
          </w:pP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7E1688"/>
    <w:rsid w:val="00C8266F"/>
    <w:rsid w:val="00D26EF6"/>
    <w:rsid w:val="00E071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071E3"/>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E9A112F04784F8BA27CC69F4A57A07A">
    <w:name w:val="6E9A112F04784F8BA27CC69F4A57A07A"/>
    <w:rsid w:val="00E0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5235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5</cp:revision>
  <dcterms:created xsi:type="dcterms:W3CDTF">2021-10-28T09:08:00Z</dcterms:created>
  <dcterms:modified xsi:type="dcterms:W3CDTF">2022-11-11T07:40:00Z</dcterms:modified>
</cp:coreProperties>
</file>