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D6" w:rsidRDefault="006B6ACD" w:rsidP="00B703B2">
      <w:pPr>
        <w:jc w:val="center"/>
      </w:pPr>
      <w:r>
        <w:rPr>
          <w:noProof/>
        </w:rPr>
        <w:drawing>
          <wp:inline distT="0" distB="0" distL="0" distR="0" wp14:anchorId="6A9D22DE">
            <wp:extent cx="2019300" cy="838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pic:spPr>
                </pic:pic>
              </a:graphicData>
            </a:graphic>
          </wp:inline>
        </w:drawing>
      </w:r>
    </w:p>
    <w:p w:rsidR="00B703B2" w:rsidRPr="00B703B2" w:rsidRDefault="006B6ACD" w:rsidP="00B703B2">
      <w:pPr>
        <w:jc w:val="center"/>
      </w:pPr>
      <w:r w:rsidRPr="00B703B2">
        <w:t>MINISTERIUM FÜR KULTUS, JUGEND UND SPORT</w:t>
      </w:r>
    </w:p>
    <w:p w:rsidR="00B703B2" w:rsidRDefault="006B6ACD" w:rsidP="00B703B2">
      <w:pPr>
        <w:jc w:val="center"/>
      </w:pPr>
      <w:bookmarkStart w:id="0" w:name="Schreiben__1Z"/>
      <w:bookmarkEnd w:id="0"/>
      <w:r w:rsidRPr="00B703B2">
        <w:t>Landeslehrerprüfungsamt -  Außenstelle beim Regierungspräsidium Karlsruhe</w:t>
      </w:r>
    </w:p>
    <w:p w:rsidR="00B703B2" w:rsidRDefault="00D10F5F"/>
    <w:p w:rsidR="00B703B2" w:rsidRDefault="006B6ACD" w:rsidP="00B703B2">
      <w:pPr>
        <w:overflowPunct/>
        <w:textAlignment w:val="auto"/>
        <w:rPr>
          <w:rFonts w:ascii="Times-Roman" w:hAnsi="Times-Roman" w:cs="Times-Roman"/>
          <w:sz w:val="22"/>
          <w:szCs w:val="22"/>
        </w:rPr>
      </w:pPr>
      <w:r>
        <w:rPr>
          <w:rFonts w:ascii="Helvetica" w:hAnsi="Helvetica" w:cs="Helvetica"/>
          <w:sz w:val="28"/>
          <w:szCs w:val="28"/>
        </w:rPr>
        <w:t xml:space="preserve">Angabe der Schwerpunktgebiete </w:t>
      </w:r>
      <w:r>
        <w:rPr>
          <w:rFonts w:ascii="Times-Roman" w:hAnsi="Times-Roman" w:cs="Times-Roman"/>
          <w:sz w:val="22"/>
          <w:szCs w:val="22"/>
        </w:rPr>
        <w:t xml:space="preserve">(GymPO vom 31.07.2009) </w:t>
      </w:r>
      <w:bookmarkStart w:id="1" w:name="_GoBack"/>
      <w:bookmarkEnd w:id="1"/>
    </w:p>
    <w:p w:rsidR="00B703B2" w:rsidRPr="007E4E50" w:rsidRDefault="006B6ACD" w:rsidP="00B703B2">
      <w:pPr>
        <w:overflowPunct/>
        <w:textAlignment w:val="auto"/>
        <w:rPr>
          <w:rFonts w:ascii="Helvetica" w:hAnsi="Helvetica" w:cs="Helvetica"/>
          <w:sz w:val="16"/>
          <w:szCs w:val="16"/>
        </w:rPr>
      </w:pPr>
      <w:r w:rsidRPr="007E4E50">
        <w:rPr>
          <w:rFonts w:ascii="Helvetica" w:hAnsi="Helvetica" w:cs="Helvetica"/>
          <w:sz w:val="16"/>
          <w:szCs w:val="16"/>
        </w:rPr>
        <w:t>Bitte beachten Sie, dass nach der Zulassung eine Änderung der Schwerpunktthemen nicht mehr möglich ist</w:t>
      </w:r>
    </w:p>
    <w:p w:rsidR="00B703B2" w:rsidRDefault="00D10F5F"/>
    <w:p w:rsidR="006C7C5C" w:rsidRDefault="00D10F5F"/>
    <w:p w:rsidR="006C7C5C" w:rsidRDefault="00D10F5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410"/>
        <w:gridCol w:w="2208"/>
      </w:tblGrid>
      <w:tr w:rsidR="00B703B2" w:rsidTr="00E50C29">
        <w:tc>
          <w:tcPr>
            <w:tcW w:w="4928" w:type="dxa"/>
          </w:tcPr>
          <w:p w:rsidR="00B703B2" w:rsidRDefault="006B6ACD" w:rsidP="002D7584">
            <w:pPr>
              <w:tabs>
                <w:tab w:val="left" w:pos="1276"/>
              </w:tabs>
            </w:pPr>
            <w:r w:rsidRPr="006C7C5C">
              <w:rPr>
                <w:b/>
              </w:rPr>
              <w:t>Name</w:t>
            </w:r>
            <w:r>
              <w:t>:</w:t>
            </w:r>
            <w:r>
              <w:tab/>
            </w:r>
            <w:sdt>
              <w:sdtPr>
                <w:alias w:val="Name"/>
                <w:tag w:val="Name"/>
                <w:id w:val="1208227480"/>
                <w:placeholder>
                  <w:docPart w:val="48F45F8DFA114CA0ADE55168C4B52492"/>
                </w:placeholder>
                <w:showingPlcHdr/>
              </w:sdtPr>
              <w:sdtEndPr/>
              <w:sdtContent>
                <w:r>
                  <w:rPr>
                    <w:rStyle w:val="Platzhaltertext"/>
                  </w:rPr>
                  <w:t>Name eingeben</w:t>
                </w:r>
              </w:sdtContent>
            </w:sdt>
          </w:p>
        </w:tc>
        <w:tc>
          <w:tcPr>
            <w:tcW w:w="2410" w:type="dxa"/>
          </w:tcPr>
          <w:p w:rsidR="00B703B2" w:rsidRDefault="006B6ACD">
            <w:r>
              <w:t>Universität</w:t>
            </w:r>
          </w:p>
        </w:tc>
        <w:tc>
          <w:tcPr>
            <w:tcW w:w="2208" w:type="dxa"/>
          </w:tcPr>
          <w:p w:rsidR="00B703B2" w:rsidRPr="00D40DB5" w:rsidRDefault="006B6ACD" w:rsidP="00D40DB5">
            <w:pPr>
              <w:jc w:val="center"/>
              <w:rPr>
                <w:b/>
                <w:sz w:val="28"/>
                <w:szCs w:val="28"/>
              </w:rPr>
            </w:pPr>
            <w:r w:rsidRPr="00D40DB5">
              <w:rPr>
                <w:b/>
                <w:sz w:val="28"/>
                <w:szCs w:val="28"/>
              </w:rPr>
              <w:t>Deutsch</w:t>
            </w:r>
          </w:p>
        </w:tc>
      </w:tr>
      <w:tr w:rsidR="00B703B2" w:rsidTr="009C5C9B">
        <w:tc>
          <w:tcPr>
            <w:tcW w:w="4928" w:type="dxa"/>
          </w:tcPr>
          <w:p w:rsidR="00B703B2" w:rsidRDefault="006B6ACD" w:rsidP="002D7584">
            <w:pPr>
              <w:tabs>
                <w:tab w:val="left" w:pos="1276"/>
              </w:tabs>
              <w:spacing w:before="120" w:after="120"/>
            </w:pPr>
            <w:r w:rsidRPr="006C7C5C">
              <w:rPr>
                <w:b/>
              </w:rPr>
              <w:t>Vorname</w:t>
            </w:r>
            <w:r>
              <w:t>:</w:t>
            </w:r>
            <w:r>
              <w:tab/>
            </w:r>
            <w:sdt>
              <w:sdtPr>
                <w:id w:val="1588270020"/>
                <w:placeholder>
                  <w:docPart w:val="8133985C406E40939C55375DA0031AB4"/>
                </w:placeholder>
                <w:showingPlcHdr/>
              </w:sdtPr>
              <w:sdtEndPr/>
              <w:sdtContent>
                <w:r>
                  <w:rPr>
                    <w:rStyle w:val="Platzhaltertext"/>
                  </w:rPr>
                  <w:t>Vorname eingeben</w:t>
                </w:r>
              </w:sdtContent>
            </w:sdt>
          </w:p>
        </w:tc>
        <w:sdt>
          <w:sdtPr>
            <w:id w:val="2138598862"/>
            <w:placeholder>
              <w:docPart w:val="E3DB91BC57954CC4ABF6AB6CC2F7D51B"/>
            </w:placeholder>
            <w:showingPlcHdr/>
            <w:comboBox>
              <w:listItem w:value="Wählen Sie ein Element aus."/>
              <w:listItem w:displayText="Heidelberg" w:value="Heidelberg"/>
              <w:listItem w:displayText="Karlsruhe" w:value="Karlsruhe"/>
              <w:listItem w:displayText="Mannheim" w:value="Mannheim"/>
            </w:comboBox>
          </w:sdtPr>
          <w:sdtEndPr/>
          <w:sdtContent>
            <w:tc>
              <w:tcPr>
                <w:tcW w:w="2410" w:type="dxa"/>
                <w:vAlign w:val="center"/>
              </w:tcPr>
              <w:p w:rsidR="00B703B2" w:rsidRDefault="006B6ACD" w:rsidP="009C5C9B">
                <w:r>
                  <w:rPr>
                    <w:rStyle w:val="Platzhaltertext"/>
                  </w:rPr>
                  <w:t>wählen</w:t>
                </w:r>
              </w:p>
            </w:tc>
          </w:sdtContent>
        </w:sdt>
        <w:tc>
          <w:tcPr>
            <w:tcW w:w="2208" w:type="dxa"/>
          </w:tcPr>
          <w:p w:rsidR="00B703B2" w:rsidRDefault="006B6ACD" w:rsidP="002D7584">
            <w:pPr>
              <w:tabs>
                <w:tab w:val="left" w:pos="600"/>
              </w:tabs>
              <w:spacing w:before="120" w:after="120"/>
            </w:pPr>
            <w:r>
              <w:t>Jahr</w:t>
            </w:r>
            <w:r>
              <w:tab/>
            </w:r>
            <w:sdt>
              <w:sdtPr>
                <w:id w:val="2062351414"/>
                <w:placeholder>
                  <w:docPart w:val="6C6D2763C8F846ECB12F455619E556B9"/>
                </w:placeholder>
                <w:showingPlcHdr/>
                <w:dropDownList>
                  <w:listItem w:value="Wählen Sie ein Element aus."/>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4F2662">
                  <w:rPr>
                    <w:rStyle w:val="Platzhaltertext"/>
                    <w:szCs w:val="24"/>
                  </w:rPr>
                  <w:t>wählen</w:t>
                </w:r>
              </w:sdtContent>
            </w:sdt>
          </w:p>
        </w:tc>
      </w:tr>
      <w:tr w:rsidR="00B703B2" w:rsidTr="00E50C29">
        <w:tc>
          <w:tcPr>
            <w:tcW w:w="4928" w:type="dxa"/>
          </w:tcPr>
          <w:p w:rsidR="00B703B2" w:rsidRDefault="00D10F5F"/>
        </w:tc>
        <w:tc>
          <w:tcPr>
            <w:tcW w:w="2410" w:type="dxa"/>
          </w:tcPr>
          <w:p w:rsidR="00B703B2" w:rsidRDefault="006B6ACD" w:rsidP="004F2662">
            <w:pPr>
              <w:tabs>
                <w:tab w:val="left" w:pos="1451"/>
              </w:tabs>
            </w:pPr>
            <w:r>
              <w:t>Hauptfach</w:t>
            </w:r>
            <w:r>
              <w:tab/>
            </w:r>
            <w:sdt>
              <w:sdtPr>
                <w:id w:val="1140927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6B6ACD" w:rsidP="004F2662">
            <w:pPr>
              <w:tabs>
                <w:tab w:val="left" w:pos="1167"/>
              </w:tabs>
            </w:pPr>
            <w:r>
              <w:t>Beifach</w:t>
            </w:r>
            <w:r>
              <w:tab/>
            </w:r>
            <w:sdt>
              <w:sdtPr>
                <w:id w:val="993074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703B2" w:rsidTr="00E50C29">
        <w:tc>
          <w:tcPr>
            <w:tcW w:w="4928" w:type="dxa"/>
          </w:tcPr>
          <w:p w:rsidR="00B703B2" w:rsidRDefault="00D10F5F"/>
        </w:tc>
        <w:tc>
          <w:tcPr>
            <w:tcW w:w="2410" w:type="dxa"/>
          </w:tcPr>
          <w:p w:rsidR="00B703B2" w:rsidRDefault="006B6ACD" w:rsidP="004F2662">
            <w:pPr>
              <w:tabs>
                <w:tab w:val="left" w:pos="1451"/>
              </w:tabs>
            </w:pPr>
            <w:r>
              <w:t>Frühjahr</w:t>
            </w:r>
            <w:r>
              <w:tab/>
            </w:r>
            <w:sdt>
              <w:sdtPr>
                <w:id w:val="135569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08" w:type="dxa"/>
          </w:tcPr>
          <w:p w:rsidR="00B703B2" w:rsidRDefault="006B6ACD" w:rsidP="004F2662">
            <w:pPr>
              <w:tabs>
                <w:tab w:val="left" w:pos="1167"/>
              </w:tabs>
            </w:pPr>
            <w:r>
              <w:t>Herbst</w:t>
            </w:r>
            <w:r>
              <w:tab/>
            </w:r>
            <w:sdt>
              <w:sdtPr>
                <w:id w:val="-1772540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C7C5C" w:rsidTr="00E50C29">
        <w:tc>
          <w:tcPr>
            <w:tcW w:w="4928" w:type="dxa"/>
          </w:tcPr>
          <w:p w:rsidR="006C7C5C" w:rsidRDefault="00D10F5F"/>
        </w:tc>
        <w:tc>
          <w:tcPr>
            <w:tcW w:w="2410" w:type="dxa"/>
          </w:tcPr>
          <w:p w:rsidR="006C7C5C" w:rsidRDefault="00D10F5F"/>
        </w:tc>
        <w:tc>
          <w:tcPr>
            <w:tcW w:w="2208" w:type="dxa"/>
          </w:tcPr>
          <w:p w:rsidR="006C7C5C" w:rsidRDefault="00D10F5F"/>
        </w:tc>
      </w:tr>
      <w:tr w:rsidR="00B703B2" w:rsidTr="00E50C29">
        <w:tc>
          <w:tcPr>
            <w:tcW w:w="4928" w:type="dxa"/>
          </w:tcPr>
          <w:p w:rsidR="00B703B2" w:rsidRDefault="006B6ACD">
            <w:r>
              <w:t>Wissenschaftliche Arbeit im Fach</w:t>
            </w:r>
          </w:p>
        </w:tc>
        <w:sdt>
          <w:sdtPr>
            <w:id w:val="1080181551"/>
            <w:showingPlcHdr/>
          </w:sdtPr>
          <w:sdtEndPr/>
          <w:sdtContent>
            <w:tc>
              <w:tcPr>
                <w:tcW w:w="2410" w:type="dxa"/>
              </w:tcPr>
              <w:p w:rsidR="00B703B2" w:rsidRDefault="006B6ACD" w:rsidP="004F2662">
                <w:r>
                  <w:rPr>
                    <w:rStyle w:val="Platzhaltertext"/>
                  </w:rPr>
                  <w:t>Fach</w:t>
                </w:r>
                <w:r w:rsidRPr="0031253B">
                  <w:rPr>
                    <w:rStyle w:val="Platzhaltertext"/>
                  </w:rPr>
                  <w:t xml:space="preserve"> eingeben.</w:t>
                </w:r>
              </w:p>
            </w:tc>
          </w:sdtContent>
        </w:sdt>
        <w:tc>
          <w:tcPr>
            <w:tcW w:w="2208" w:type="dxa"/>
          </w:tcPr>
          <w:p w:rsidR="00B703B2" w:rsidRDefault="00D10F5F"/>
        </w:tc>
      </w:tr>
      <w:tr w:rsidR="00B703B2" w:rsidTr="00E50C29">
        <w:tc>
          <w:tcPr>
            <w:tcW w:w="4928" w:type="dxa"/>
          </w:tcPr>
          <w:p w:rsidR="00B703B2" w:rsidRDefault="006B6ACD">
            <w:r>
              <w:t>Thema:</w:t>
            </w:r>
          </w:p>
        </w:tc>
        <w:tc>
          <w:tcPr>
            <w:tcW w:w="2410" w:type="dxa"/>
          </w:tcPr>
          <w:p w:rsidR="00B703B2" w:rsidRDefault="00D10F5F"/>
        </w:tc>
        <w:tc>
          <w:tcPr>
            <w:tcW w:w="2208" w:type="dxa"/>
          </w:tcPr>
          <w:p w:rsidR="00B703B2" w:rsidRDefault="00D10F5F"/>
        </w:tc>
      </w:tr>
      <w:tr w:rsidR="006C7C5C" w:rsidTr="00E50C29">
        <w:sdt>
          <w:sdtPr>
            <w:id w:val="1589888833"/>
            <w:showingPlcHdr/>
          </w:sdtPr>
          <w:sdtEndPr/>
          <w:sdtContent>
            <w:tc>
              <w:tcPr>
                <w:tcW w:w="9546" w:type="dxa"/>
                <w:gridSpan w:val="3"/>
              </w:tcPr>
              <w:p w:rsidR="006C7C5C" w:rsidRDefault="006B6ACD" w:rsidP="004F2662">
                <w:r>
                  <w:rPr>
                    <w:rStyle w:val="Platzhaltertext"/>
                  </w:rPr>
                  <w:t>Thema ein</w:t>
                </w:r>
                <w:r w:rsidRPr="0031253B">
                  <w:rPr>
                    <w:rStyle w:val="Platzhaltertext"/>
                  </w:rPr>
                  <w:t>geben.</w:t>
                </w:r>
              </w:p>
            </w:tc>
          </w:sdtContent>
        </w:sdt>
      </w:tr>
      <w:tr w:rsidR="006C7C5C" w:rsidTr="00E50C29">
        <w:tc>
          <w:tcPr>
            <w:tcW w:w="9546" w:type="dxa"/>
            <w:gridSpan w:val="3"/>
          </w:tcPr>
          <w:p w:rsidR="006C7C5C" w:rsidRDefault="00D10F5F" w:rsidP="008918E1">
            <w:pPr>
              <w:overflowPunct/>
              <w:textAlignment w:val="auto"/>
              <w:rPr>
                <w:rFonts w:ascii="Helvetica-Bold" w:hAnsi="Helvetica-Bold" w:cs="Helvetica-Bold"/>
                <w:b/>
                <w:bCs/>
                <w:sz w:val="20"/>
              </w:rPr>
            </w:pPr>
          </w:p>
        </w:tc>
      </w:tr>
      <w:tr w:rsidR="00B703B2" w:rsidTr="00E50C29">
        <w:tc>
          <w:tcPr>
            <w:tcW w:w="9546" w:type="dxa"/>
            <w:gridSpan w:val="3"/>
            <w:tcBorders>
              <w:bottom w:val="single" w:sz="4" w:space="0" w:color="auto"/>
            </w:tcBorders>
          </w:tcPr>
          <w:p w:rsidR="008918E1" w:rsidRPr="001B20EB" w:rsidRDefault="006B6ACD" w:rsidP="008918E1">
            <w:pPr>
              <w:overflowPunct/>
              <w:textAlignment w:val="auto"/>
              <w:rPr>
                <w:b/>
                <w:bCs/>
                <w:sz w:val="20"/>
              </w:rPr>
            </w:pPr>
            <w:r w:rsidRPr="001B20EB">
              <w:rPr>
                <w:b/>
                <w:bCs/>
                <w:sz w:val="20"/>
              </w:rPr>
              <w:t>Vom Bewerber in Abstimmung mit den Prüfern zu wählende Schwerpunktthemen.</w:t>
            </w:r>
          </w:p>
          <w:p w:rsidR="008918E1" w:rsidRPr="001B20EB" w:rsidRDefault="006B6ACD" w:rsidP="008918E1">
            <w:pPr>
              <w:overflowPunct/>
              <w:textAlignment w:val="auto"/>
              <w:rPr>
                <w:b/>
                <w:bCs/>
                <w:sz w:val="20"/>
              </w:rPr>
            </w:pPr>
            <w:r w:rsidRPr="001B20EB">
              <w:rPr>
                <w:b/>
                <w:bCs/>
                <w:sz w:val="20"/>
              </w:rPr>
              <w:t>Die Schwerpunktthemen werden jeweils 15 Minuten geprüft; 15 Minuten entfallen auf die Prüfung von Grundlagen- und Überblickswissen.</w:t>
            </w:r>
          </w:p>
          <w:p w:rsidR="00B703B2" w:rsidRDefault="00D10F5F"/>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6B6ACD" w:rsidP="00A22D67">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 </w:t>
            </w:r>
            <w:r w:rsidRPr="001B20EB">
              <w:rPr>
                <w:b/>
                <w:bCs/>
                <w:szCs w:val="24"/>
              </w:rPr>
              <w:t>Sprachwissenschaft (Haupt- und Beifach):</w:t>
            </w:r>
          </w:p>
        </w:tc>
      </w:tr>
      <w:tr w:rsidR="00B703B2" w:rsidTr="00E50C29">
        <w:trPr>
          <w:trHeight w:val="851"/>
        </w:trPr>
        <w:sdt>
          <w:sdtPr>
            <w:alias w:val="Thema"/>
            <w:tag w:val="Thema"/>
            <w:id w:val="1730813853"/>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B703B2" w:rsidRDefault="006B6ACD" w:rsidP="004F2662">
                <w:r>
                  <w:rPr>
                    <w:rStyle w:val="Platzhaltertext"/>
                  </w:rPr>
                  <w:t>Prüfungsthema eing</w:t>
                </w:r>
                <w:r w:rsidRPr="0031253B">
                  <w:rPr>
                    <w:rStyle w:val="Platzhaltertext"/>
                  </w:rPr>
                  <w:t>eben.</w:t>
                </w:r>
              </w:p>
            </w:tc>
          </w:sdtContent>
        </w:sdt>
        <w:tc>
          <w:tcPr>
            <w:tcW w:w="2410" w:type="dxa"/>
            <w:tcBorders>
              <w:top w:val="single" w:sz="4" w:space="0" w:color="auto"/>
              <w:left w:val="single" w:sz="4" w:space="0" w:color="auto"/>
              <w:bottom w:val="single" w:sz="4" w:space="0" w:color="auto"/>
              <w:right w:val="single" w:sz="4" w:space="0" w:color="auto"/>
            </w:tcBorders>
          </w:tcPr>
          <w:p w:rsidR="00B703B2" w:rsidRDefault="006B6ACD" w:rsidP="004F2662">
            <w:pPr>
              <w:jc w:val="center"/>
            </w:pPr>
            <w:r>
              <w:t>Prüfer:</w:t>
            </w:r>
            <w:r>
              <w:br/>
            </w:r>
            <w:sdt>
              <w:sdtPr>
                <w:id w:val="-206340732"/>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B703B2" w:rsidRDefault="00D10F5F" w:rsidP="008918E1">
            <w:pPr>
              <w:jc w:val="center"/>
            </w:pPr>
          </w:p>
          <w:p w:rsidR="008918E1" w:rsidRDefault="006B6ACD" w:rsidP="008918E1">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6B6ACD" w:rsidP="00A22D67">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 </w:t>
            </w:r>
            <w:r w:rsidRPr="001B20EB">
              <w:rPr>
                <w:b/>
                <w:bCs/>
                <w:szCs w:val="24"/>
              </w:rPr>
              <w:t>Literatur nach 1850 (nur Hauptfach):</w:t>
            </w:r>
          </w:p>
        </w:tc>
      </w:tr>
      <w:tr w:rsidR="008918E1" w:rsidTr="00E50C29">
        <w:trPr>
          <w:trHeight w:val="851"/>
        </w:trPr>
        <w:sdt>
          <w:sdtPr>
            <w:id w:val="-193072777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6B6ACD" w:rsidP="004F2662">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6B6ACD" w:rsidP="004F2662">
            <w:pPr>
              <w:jc w:val="center"/>
            </w:pPr>
            <w:r>
              <w:t>Prüfer:</w:t>
            </w:r>
            <w:r>
              <w:br/>
            </w:r>
            <w:sdt>
              <w:sdtPr>
                <w:id w:val="518047824"/>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D10F5F" w:rsidP="00BA22C0">
            <w:pPr>
              <w:jc w:val="center"/>
            </w:pPr>
          </w:p>
          <w:p w:rsidR="008918E1" w:rsidRDefault="006B6ACD"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Pr="008918E1" w:rsidRDefault="006B6ACD" w:rsidP="00A22D67">
            <w:pPr>
              <w:overflowPunct/>
              <w:spacing w:before="120" w:after="120"/>
              <w:textAlignment w:val="auto"/>
              <w:rPr>
                <w:rFonts w:ascii="Helvetica-Bold" w:hAnsi="Helvetica-Bold" w:cs="Helvetica-Bold"/>
                <w:b/>
                <w:bCs/>
                <w:szCs w:val="24"/>
              </w:rPr>
            </w:pPr>
            <w:r>
              <w:rPr>
                <w:rFonts w:ascii="Helvetica-Bold" w:hAnsi="Helvetica-Bold" w:cs="Helvetica-Bold"/>
                <w:b/>
                <w:bCs/>
                <w:szCs w:val="24"/>
              </w:rPr>
              <w:t xml:space="preserve">III. </w:t>
            </w:r>
            <w:r w:rsidRPr="001B20EB">
              <w:rPr>
                <w:b/>
                <w:bCs/>
                <w:szCs w:val="24"/>
              </w:rPr>
              <w:t>Literatur vor 1850 (nur Hauptfach):</w:t>
            </w:r>
          </w:p>
        </w:tc>
      </w:tr>
      <w:tr w:rsidR="008918E1" w:rsidTr="00E50C29">
        <w:trPr>
          <w:trHeight w:val="851"/>
        </w:trPr>
        <w:sdt>
          <w:sdtPr>
            <w:id w:val="-915390962"/>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6B6ACD" w:rsidP="004F2662">
                <w:r>
                  <w:rPr>
                    <w:rStyle w:val="Platzhaltertext"/>
                  </w:rPr>
                  <w:t>Prüfungsthema ein</w:t>
                </w:r>
                <w:r w:rsidRPr="0031253B">
                  <w:rPr>
                    <w:rStyle w:val="Platzhaltertext"/>
                  </w:rPr>
                  <w:t>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6B6ACD" w:rsidP="004F2662">
            <w:pPr>
              <w:jc w:val="center"/>
            </w:pPr>
            <w:r>
              <w:t>Prüfer:</w:t>
            </w:r>
            <w:r>
              <w:br/>
            </w:r>
            <w:sdt>
              <w:sdtPr>
                <w:id w:val="87824356"/>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D10F5F" w:rsidP="00BA22C0">
            <w:pPr>
              <w:jc w:val="center"/>
            </w:pPr>
          </w:p>
          <w:p w:rsidR="008918E1" w:rsidRDefault="006B6ACD" w:rsidP="00BA22C0">
            <w:pPr>
              <w:jc w:val="center"/>
            </w:pPr>
            <w:r>
              <w:t>Unterschrift Prüfer</w:t>
            </w:r>
          </w:p>
        </w:tc>
      </w:tr>
      <w:tr w:rsidR="008918E1" w:rsidTr="00E50C29">
        <w:tc>
          <w:tcPr>
            <w:tcW w:w="9546" w:type="dxa"/>
            <w:gridSpan w:val="3"/>
            <w:tcBorders>
              <w:top w:val="single" w:sz="4" w:space="0" w:color="auto"/>
              <w:left w:val="single" w:sz="4" w:space="0" w:color="auto"/>
              <w:bottom w:val="single" w:sz="4" w:space="0" w:color="auto"/>
              <w:right w:val="single" w:sz="4" w:space="0" w:color="auto"/>
            </w:tcBorders>
          </w:tcPr>
          <w:p w:rsidR="008918E1" w:rsidRDefault="006B6ACD" w:rsidP="00A22D67">
            <w:pPr>
              <w:overflowPunct/>
              <w:spacing w:before="120" w:after="120"/>
              <w:textAlignment w:val="auto"/>
            </w:pPr>
            <w:r>
              <w:rPr>
                <w:rFonts w:ascii="Helvetica-Bold" w:hAnsi="Helvetica-Bold" w:cs="Helvetica-Bold"/>
                <w:b/>
                <w:bCs/>
                <w:szCs w:val="24"/>
              </w:rPr>
              <w:t xml:space="preserve">IV. </w:t>
            </w:r>
            <w:r w:rsidRPr="001B20EB">
              <w:rPr>
                <w:b/>
                <w:bCs/>
                <w:szCs w:val="24"/>
              </w:rPr>
              <w:t>Literatur ab dem 18. Jahrhundert (nur Beifach):</w:t>
            </w:r>
          </w:p>
        </w:tc>
      </w:tr>
      <w:tr w:rsidR="008918E1" w:rsidTr="00E50C29">
        <w:trPr>
          <w:trHeight w:val="851"/>
        </w:trPr>
        <w:sdt>
          <w:sdtPr>
            <w:id w:val="-321890836"/>
            <w:showingPlcHdr/>
          </w:sdtPr>
          <w:sdtEndPr/>
          <w:sdtContent>
            <w:tc>
              <w:tcPr>
                <w:tcW w:w="4928" w:type="dxa"/>
                <w:tcBorders>
                  <w:top w:val="single" w:sz="4" w:space="0" w:color="auto"/>
                  <w:left w:val="single" w:sz="4" w:space="0" w:color="auto"/>
                  <w:bottom w:val="single" w:sz="4" w:space="0" w:color="auto"/>
                  <w:right w:val="single" w:sz="4" w:space="0" w:color="auto"/>
                </w:tcBorders>
              </w:tcPr>
              <w:p w:rsidR="008918E1" w:rsidRDefault="006B6ACD" w:rsidP="004C6A85">
                <w:r>
                  <w:rPr>
                    <w:rStyle w:val="Platzhaltertext"/>
                  </w:rPr>
                  <w:t>Prüfungsthema</w:t>
                </w:r>
                <w:r w:rsidRPr="0031253B">
                  <w:rPr>
                    <w:rStyle w:val="Platzhaltertext"/>
                  </w:rPr>
                  <w:t xml:space="preserve"> eingeben.</w:t>
                </w:r>
              </w:p>
            </w:tc>
          </w:sdtContent>
        </w:sdt>
        <w:tc>
          <w:tcPr>
            <w:tcW w:w="2410" w:type="dxa"/>
            <w:tcBorders>
              <w:top w:val="single" w:sz="4" w:space="0" w:color="auto"/>
              <w:left w:val="single" w:sz="4" w:space="0" w:color="auto"/>
              <w:bottom w:val="single" w:sz="4" w:space="0" w:color="auto"/>
              <w:right w:val="single" w:sz="4" w:space="0" w:color="auto"/>
            </w:tcBorders>
          </w:tcPr>
          <w:p w:rsidR="008918E1" w:rsidRDefault="006B6ACD" w:rsidP="004C6A85">
            <w:pPr>
              <w:jc w:val="center"/>
            </w:pPr>
            <w:r>
              <w:t>Prüfer:</w:t>
            </w:r>
            <w:r>
              <w:br/>
            </w:r>
            <w:sdt>
              <w:sdtPr>
                <w:id w:val="-883491215"/>
                <w:showingPlcHdr/>
              </w:sdtPr>
              <w:sdtEndPr/>
              <w:sdtContent>
                <w:r>
                  <w:rPr>
                    <w:rStyle w:val="Platzhaltertext"/>
                  </w:rPr>
                  <w:t>Name</w:t>
                </w:r>
                <w:r w:rsidRPr="0031253B">
                  <w:rPr>
                    <w:rStyle w:val="Platzhaltertext"/>
                  </w:rPr>
                  <w:t xml:space="preserve"> eingeben.</w:t>
                </w:r>
              </w:sdtContent>
            </w:sdt>
          </w:p>
        </w:tc>
        <w:tc>
          <w:tcPr>
            <w:tcW w:w="2208" w:type="dxa"/>
            <w:tcBorders>
              <w:top w:val="single" w:sz="4" w:space="0" w:color="auto"/>
              <w:left w:val="single" w:sz="4" w:space="0" w:color="auto"/>
              <w:bottom w:val="single" w:sz="4" w:space="0" w:color="auto"/>
              <w:right w:val="single" w:sz="4" w:space="0" w:color="auto"/>
            </w:tcBorders>
            <w:vAlign w:val="bottom"/>
          </w:tcPr>
          <w:p w:rsidR="008918E1" w:rsidRDefault="00D10F5F" w:rsidP="00BA22C0">
            <w:pPr>
              <w:jc w:val="center"/>
            </w:pPr>
          </w:p>
          <w:p w:rsidR="008918E1" w:rsidRDefault="006B6ACD" w:rsidP="00BA22C0">
            <w:pPr>
              <w:jc w:val="center"/>
            </w:pPr>
            <w:r>
              <w:t>Unterschrift Prüfer</w:t>
            </w:r>
          </w:p>
        </w:tc>
      </w:tr>
      <w:tr w:rsidR="008918E1" w:rsidTr="00E50C29">
        <w:tc>
          <w:tcPr>
            <w:tcW w:w="4928" w:type="dxa"/>
            <w:tcBorders>
              <w:top w:val="single" w:sz="4" w:space="0" w:color="auto"/>
              <w:left w:val="single" w:sz="4" w:space="0" w:color="auto"/>
              <w:right w:val="single" w:sz="4" w:space="0" w:color="auto"/>
            </w:tcBorders>
          </w:tcPr>
          <w:p w:rsidR="008918E1" w:rsidRDefault="00D10F5F"/>
        </w:tc>
        <w:tc>
          <w:tcPr>
            <w:tcW w:w="2410" w:type="dxa"/>
            <w:tcBorders>
              <w:top w:val="single" w:sz="4" w:space="0" w:color="auto"/>
              <w:left w:val="single" w:sz="4" w:space="0" w:color="auto"/>
              <w:right w:val="single" w:sz="4" w:space="0" w:color="auto"/>
            </w:tcBorders>
          </w:tcPr>
          <w:p w:rsidR="008918E1" w:rsidRDefault="00D10F5F"/>
        </w:tc>
        <w:tc>
          <w:tcPr>
            <w:tcW w:w="2208" w:type="dxa"/>
            <w:tcBorders>
              <w:top w:val="single" w:sz="4" w:space="0" w:color="auto"/>
              <w:left w:val="single" w:sz="4" w:space="0" w:color="auto"/>
              <w:right w:val="single" w:sz="4" w:space="0" w:color="auto"/>
            </w:tcBorders>
          </w:tcPr>
          <w:p w:rsidR="008918E1" w:rsidRDefault="00D10F5F"/>
        </w:tc>
      </w:tr>
      <w:tr w:rsidR="008918E1" w:rsidTr="00E50C29">
        <w:tc>
          <w:tcPr>
            <w:tcW w:w="4928" w:type="dxa"/>
            <w:tcBorders>
              <w:left w:val="single" w:sz="4" w:space="0" w:color="auto"/>
              <w:right w:val="single" w:sz="4" w:space="0" w:color="auto"/>
            </w:tcBorders>
          </w:tcPr>
          <w:p w:rsidR="008918E1" w:rsidRDefault="00D10F5F"/>
        </w:tc>
        <w:tc>
          <w:tcPr>
            <w:tcW w:w="2410" w:type="dxa"/>
            <w:tcBorders>
              <w:left w:val="single" w:sz="4" w:space="0" w:color="auto"/>
              <w:right w:val="single" w:sz="4" w:space="0" w:color="auto"/>
            </w:tcBorders>
          </w:tcPr>
          <w:p w:rsidR="008918E1" w:rsidRDefault="00D10F5F"/>
        </w:tc>
        <w:tc>
          <w:tcPr>
            <w:tcW w:w="2208" w:type="dxa"/>
            <w:tcBorders>
              <w:left w:val="single" w:sz="4" w:space="0" w:color="auto"/>
              <w:right w:val="single" w:sz="4" w:space="0" w:color="auto"/>
            </w:tcBorders>
          </w:tcPr>
          <w:p w:rsidR="008918E1" w:rsidRDefault="00D10F5F"/>
        </w:tc>
      </w:tr>
      <w:tr w:rsidR="008918E1" w:rsidTr="00E50C29">
        <w:tc>
          <w:tcPr>
            <w:tcW w:w="4928" w:type="dxa"/>
            <w:tcBorders>
              <w:left w:val="single" w:sz="4" w:space="0" w:color="auto"/>
              <w:bottom w:val="single" w:sz="4" w:space="0" w:color="auto"/>
              <w:right w:val="single" w:sz="4" w:space="0" w:color="auto"/>
            </w:tcBorders>
          </w:tcPr>
          <w:p w:rsidR="006C7C5C" w:rsidRDefault="00D10F5F" w:rsidP="006C7C5C">
            <w:pPr>
              <w:jc w:val="center"/>
            </w:pPr>
          </w:p>
          <w:p w:rsidR="008918E1" w:rsidRDefault="006B6ACD" w:rsidP="006C7C5C">
            <w:r>
              <w:t>Unterschrift Lehramtsbewerber</w:t>
            </w:r>
          </w:p>
        </w:tc>
        <w:tc>
          <w:tcPr>
            <w:tcW w:w="2410" w:type="dxa"/>
            <w:tcBorders>
              <w:left w:val="single" w:sz="4" w:space="0" w:color="auto"/>
              <w:bottom w:val="single" w:sz="4" w:space="0" w:color="auto"/>
              <w:right w:val="single" w:sz="4" w:space="0" w:color="auto"/>
            </w:tcBorders>
          </w:tcPr>
          <w:p w:rsidR="00A22D67" w:rsidRDefault="00D10F5F" w:rsidP="00A22D67"/>
          <w:p w:rsidR="008918E1" w:rsidRDefault="006B6ACD" w:rsidP="00A22D67">
            <w:r>
              <w:t>Datum</w:t>
            </w:r>
          </w:p>
        </w:tc>
        <w:tc>
          <w:tcPr>
            <w:tcW w:w="2208" w:type="dxa"/>
            <w:tcBorders>
              <w:left w:val="single" w:sz="4" w:space="0" w:color="auto"/>
              <w:bottom w:val="single" w:sz="4" w:space="0" w:color="auto"/>
              <w:right w:val="single" w:sz="4" w:space="0" w:color="auto"/>
            </w:tcBorders>
          </w:tcPr>
          <w:p w:rsidR="006C7C5C" w:rsidRDefault="00D10F5F"/>
        </w:tc>
      </w:tr>
      <w:tr w:rsidR="008918E1" w:rsidTr="00E50C29">
        <w:tc>
          <w:tcPr>
            <w:tcW w:w="4928" w:type="dxa"/>
            <w:tcBorders>
              <w:top w:val="single" w:sz="4" w:space="0" w:color="auto"/>
            </w:tcBorders>
          </w:tcPr>
          <w:p w:rsidR="008918E1" w:rsidRDefault="00D10F5F"/>
        </w:tc>
        <w:tc>
          <w:tcPr>
            <w:tcW w:w="2410" w:type="dxa"/>
            <w:tcBorders>
              <w:top w:val="single" w:sz="4" w:space="0" w:color="auto"/>
            </w:tcBorders>
          </w:tcPr>
          <w:p w:rsidR="008918E1" w:rsidRDefault="00D10F5F"/>
        </w:tc>
        <w:tc>
          <w:tcPr>
            <w:tcW w:w="2208" w:type="dxa"/>
            <w:tcBorders>
              <w:top w:val="single" w:sz="4" w:space="0" w:color="auto"/>
            </w:tcBorders>
          </w:tcPr>
          <w:p w:rsidR="008918E1" w:rsidRDefault="00D10F5F"/>
        </w:tc>
      </w:tr>
    </w:tbl>
    <w:p w:rsidR="00B703B2" w:rsidRDefault="006B6ACD" w:rsidP="00A22D67">
      <w:pPr>
        <w:rPr>
          <w:rFonts w:ascii="Helvetica" w:hAnsi="Helvetica" w:cs="Helvetica"/>
          <w:sz w:val="20"/>
        </w:rPr>
      </w:pPr>
      <w:r>
        <w:rPr>
          <w:rFonts w:ascii="Helvetica-Bold" w:hAnsi="Helvetica-Bold" w:cs="Helvetica-Bold"/>
          <w:b/>
          <w:bCs/>
          <w:sz w:val="20"/>
        </w:rPr>
        <w:t xml:space="preserve">Das Prüfungsamt </w:t>
      </w:r>
      <w:r>
        <w:rPr>
          <w:rFonts w:ascii="Helvetica" w:hAnsi="Helvetica" w:cs="Helvetica"/>
          <w:sz w:val="20"/>
        </w:rPr>
        <w:t xml:space="preserve">erhält </w:t>
      </w:r>
      <w:r>
        <w:rPr>
          <w:rFonts w:ascii="Helvetica-Bold" w:hAnsi="Helvetica-Bold" w:cs="Helvetica-Bold"/>
          <w:b/>
          <w:bCs/>
          <w:sz w:val="20"/>
        </w:rPr>
        <w:t>das Original.</w:t>
      </w:r>
      <w:r>
        <w:rPr>
          <w:rFonts w:ascii="Helvetica" w:hAnsi="Helvetica" w:cs="Helvetica"/>
          <w:sz w:val="20"/>
        </w:rPr>
        <w:t xml:space="preserve"> </w:t>
      </w:r>
      <w:r>
        <w:rPr>
          <w:rFonts w:ascii="Helvetica-Bold" w:hAnsi="Helvetica-Bold" w:cs="Helvetica-Bold"/>
          <w:b/>
          <w:bCs/>
          <w:sz w:val="20"/>
        </w:rPr>
        <w:t xml:space="preserve">Jedem </w:t>
      </w:r>
      <w:r>
        <w:rPr>
          <w:rFonts w:ascii="Helvetica" w:hAnsi="Helvetica" w:cs="Helvetica"/>
          <w:sz w:val="20"/>
        </w:rPr>
        <w:t xml:space="preserve">Ihrer </w:t>
      </w:r>
      <w:r>
        <w:rPr>
          <w:rFonts w:ascii="Helvetica-Bold" w:hAnsi="Helvetica-Bold" w:cs="Helvetica-Bold"/>
          <w:b/>
          <w:bCs/>
          <w:sz w:val="20"/>
        </w:rPr>
        <w:t xml:space="preserve">Prüfer </w:t>
      </w:r>
      <w:r>
        <w:rPr>
          <w:rFonts w:ascii="Helvetica" w:hAnsi="Helvetica" w:cs="Helvetica"/>
          <w:sz w:val="20"/>
        </w:rPr>
        <w:t xml:space="preserve">händigen Sie </w:t>
      </w:r>
      <w:r w:rsidRPr="0000170F">
        <w:rPr>
          <w:rFonts w:ascii="Helvetica" w:hAnsi="Helvetica" w:cs="Helvetica"/>
          <w:b/>
          <w:sz w:val="20"/>
        </w:rPr>
        <w:t>ein Exemplar</w:t>
      </w:r>
      <w:r>
        <w:rPr>
          <w:rFonts w:ascii="Helvetica" w:hAnsi="Helvetica" w:cs="Helvetica"/>
          <w:sz w:val="20"/>
        </w:rPr>
        <w:t xml:space="preserve"> aus.</w:t>
      </w:r>
    </w:p>
    <w:p w:rsidR="00BC42E4" w:rsidRDefault="00D10F5F" w:rsidP="00A22D67">
      <w:pPr>
        <w:rPr>
          <w:rFonts w:ascii="Helvetica" w:hAnsi="Helvetica" w:cs="Helvetica"/>
          <w:sz w:val="20"/>
        </w:rPr>
      </w:pPr>
    </w:p>
    <w:p w:rsidR="00BC42E4" w:rsidRDefault="00D10F5F" w:rsidP="00A22D67">
      <w:pPr>
        <w:rPr>
          <w:rFonts w:ascii="Helvetica" w:hAnsi="Helvetica" w:cs="Helvetica"/>
          <w:sz w:val="20"/>
        </w:rPr>
      </w:pPr>
    </w:p>
    <w:p w:rsidR="00BC42E4" w:rsidRDefault="00D10F5F" w:rsidP="00BC42E4">
      <w:pPr>
        <w:overflowPunct/>
        <w:textAlignment w:val="auto"/>
        <w:rPr>
          <w:rFonts w:ascii="Helvetica-Bold" w:hAnsi="Helvetica-Bold" w:cs="Helvetica-Bold"/>
          <w:b/>
          <w:bCs/>
          <w:sz w:val="20"/>
        </w:rPr>
      </w:pPr>
    </w:p>
    <w:p w:rsidR="00BC42E4" w:rsidRDefault="006B6ACD"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Deutsch</w:t>
      </w:r>
    </w:p>
    <w:p w:rsidR="00BC42E4" w:rsidRPr="009C3822" w:rsidRDefault="006B6ACD" w:rsidP="00BC42E4">
      <w:pPr>
        <w:overflowPunct/>
        <w:textAlignment w:val="auto"/>
        <w:rPr>
          <w:rFonts w:ascii="Helvetica-Bold" w:hAnsi="Helvetica-Bold" w:cs="Helvetica-Bold"/>
          <w:b/>
          <w:bCs/>
          <w:sz w:val="20"/>
        </w:rPr>
      </w:pPr>
      <w:r w:rsidRPr="009C3822">
        <w:rPr>
          <w:rFonts w:ascii="Helvetica-Bold" w:hAnsi="Helvetica-Bold" w:cs="Helvetica-Bold"/>
          <w:b/>
          <w:bCs/>
          <w:sz w:val="20"/>
        </w:rPr>
        <w:t>Anforderungen in der Prüfung</w:t>
      </w:r>
    </w:p>
    <w:p w:rsidR="009C3822" w:rsidRDefault="00D10F5F" w:rsidP="00BC42E4">
      <w:pPr>
        <w:overflowPunct/>
        <w:textAlignment w:val="auto"/>
        <w:rPr>
          <w:rFonts w:ascii="Helvetica-Bold" w:hAnsi="Helvetica-Bold" w:cs="Helvetica-Bold"/>
          <w:b/>
          <w:bCs/>
          <w:sz w:val="18"/>
          <w:szCs w:val="18"/>
        </w:rPr>
      </w:pPr>
    </w:p>
    <w:p w:rsidR="00BC42E4" w:rsidRDefault="006B6ACD" w:rsidP="00BC42E4">
      <w:pPr>
        <w:overflowPunct/>
        <w:textAlignment w:val="auto"/>
        <w:rPr>
          <w:rFonts w:ascii="Times-Bold" w:hAnsi="Times-Bold" w:cs="Times-Bold"/>
          <w:b/>
          <w:bCs/>
          <w:sz w:val="19"/>
          <w:szCs w:val="19"/>
        </w:rPr>
      </w:pPr>
      <w:r>
        <w:rPr>
          <w:rFonts w:ascii="Times-Roman" w:hAnsi="Times-Roman" w:cs="Times-Roman"/>
          <w:sz w:val="19"/>
          <w:szCs w:val="19"/>
        </w:rPr>
        <w:t xml:space="preserve">1 </w:t>
      </w:r>
      <w:r>
        <w:rPr>
          <w:rFonts w:ascii="Times-Bold" w:hAnsi="Times-Bold" w:cs="Times-Bold"/>
          <w:b/>
          <w:bCs/>
          <w:sz w:val="19"/>
          <w:szCs w:val="19"/>
        </w:rPr>
        <w:t>Kompetenzen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Die Studienabsolventinnen und -absolventen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1.1 beherrschen die deutsche Sprache sicher in Wort und Schrift,</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1.2 erwerben eine differenzierte Schreibkompetenz und sind in der Lage, eigene und fremde Schreibprozesse zu reflektieren,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1.3 können mit den wichtigen wissenschaftlichen Hilfsmitteln ihres Faches sicher umgehen,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1.4 kennen und nutzen die Möglichkeiten der herkömmlichen und der neuen Medien,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1.5 sind mit den wichtigen wissenschaftlichen Theorien und Methoden der Literaturwissenschaft vertraut und in der Lage, fiktionale und nichtfiktionale Texte wissenschaftlich zu beschreiben und zu interpretieren,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1.6 sind mit den wichtigen wissenschaftlichen Theorien und Methoden der Sprachwissenschaft vertraut und in der Lage, die Struktur von Sätzen, Texten und Gesprächen wissenschaftlich zu analysieren,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1.7 verfügen über ein fundiertes literarisches und literaturgeschichtliches Orientierungswissen,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1.8 verfügen über ein fundiertes sprachwissenschaftliches und sprachgeschichtliches Orientierungswissen,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1.9 können Erscheinungen des Wandels und gegenwärtige Ausprägungen der Literatur interpretatorisch erschließen,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1.10 können Erscheinungen des Wandels und gegenwärtige Ausprägungen der deutschen Sprache systematisch beschreiben,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1.11 verfügen über vertiefte Kenntnisse in den Bereichen Literatur, Literaturgeschichte, Kulturgeschichte und Sprachgeschichte (HF),</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1.12 verfügen über Orientierungswissen und Problembewusstsein für sprachliche und literarische Lehr- und Lernprozesse,</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1.13 können sprach- und literaturwissenschaftliches Wissen sachgerecht mit fachdidaktischen Theorien und Methoden verbinden.</w:t>
      </w:r>
    </w:p>
    <w:p w:rsidR="00BC42E4" w:rsidRDefault="006B6ACD" w:rsidP="00BC42E4">
      <w:pPr>
        <w:overflowPunct/>
        <w:textAlignment w:val="auto"/>
        <w:rPr>
          <w:rFonts w:ascii="Times-Bold" w:hAnsi="Times-Bold" w:cs="Times-Bold"/>
          <w:b/>
          <w:bCs/>
          <w:sz w:val="19"/>
          <w:szCs w:val="19"/>
        </w:rPr>
      </w:pPr>
      <w:r>
        <w:rPr>
          <w:rFonts w:ascii="Times-Roman" w:hAnsi="Times-Roman" w:cs="Times-Roman"/>
          <w:sz w:val="19"/>
          <w:szCs w:val="19"/>
        </w:rPr>
        <w:t xml:space="preserve">2 </w:t>
      </w:r>
      <w:r>
        <w:rPr>
          <w:rFonts w:ascii="Times-Bold" w:hAnsi="Times-Bold" w:cs="Times-Bold"/>
          <w:b/>
          <w:bCs/>
          <w:sz w:val="19"/>
          <w:szCs w:val="19"/>
        </w:rPr>
        <w:t>Verbindliche Studieninhalte</w:t>
      </w:r>
    </w:p>
    <w:p w:rsidR="00BC42E4" w:rsidRDefault="006B6ACD" w:rsidP="00BC42E4">
      <w:pPr>
        <w:overflowPunct/>
        <w:textAlignment w:val="auto"/>
        <w:rPr>
          <w:rFonts w:ascii="Times-Italic" w:hAnsi="Times-Italic" w:cs="Times-Italic"/>
          <w:i/>
          <w:iCs/>
          <w:sz w:val="19"/>
          <w:szCs w:val="19"/>
        </w:rPr>
      </w:pPr>
      <w:r>
        <w:rPr>
          <w:rFonts w:ascii="Times-Roman" w:hAnsi="Times-Roman" w:cs="Times-Roman"/>
          <w:sz w:val="19"/>
          <w:szCs w:val="19"/>
        </w:rPr>
        <w:t xml:space="preserve">2.1 </w:t>
      </w:r>
      <w:r>
        <w:rPr>
          <w:rFonts w:ascii="Times-Italic" w:hAnsi="Times-Italic" w:cs="Times-Italic"/>
          <w:i/>
          <w:iCs/>
          <w:sz w:val="19"/>
          <w:szCs w:val="19"/>
        </w:rPr>
        <w:t>Allgemeine Kenntnisse</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2.1.1 situationsgerechte, adressatenorientierte Gestaltung von Texten und Gesprächsbeiträgen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2.1.2 sachgerechte, sprachlich korrekte und ansprechende Präsentation von Ergebnissen wissenschaftlicher</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Arbeit</w:t>
      </w:r>
    </w:p>
    <w:p w:rsidR="00BC42E4" w:rsidRDefault="00D10F5F" w:rsidP="00BC42E4">
      <w:pPr>
        <w:overflowPunct/>
        <w:textAlignment w:val="auto"/>
        <w:rPr>
          <w:rFonts w:ascii="Times-Roman" w:hAnsi="Times-Roman" w:cs="Times-Roman"/>
          <w:sz w:val="19"/>
          <w:szCs w:val="19"/>
        </w:rPr>
      </w:pPr>
    </w:p>
    <w:p w:rsidR="00BC42E4" w:rsidRDefault="006B6ACD" w:rsidP="00BC42E4">
      <w:pPr>
        <w:overflowPunct/>
        <w:textAlignment w:val="auto"/>
        <w:rPr>
          <w:rFonts w:ascii="Times-Italic" w:hAnsi="Times-Italic" w:cs="Times-Italic"/>
          <w:i/>
          <w:iCs/>
          <w:sz w:val="19"/>
          <w:szCs w:val="19"/>
        </w:rPr>
      </w:pPr>
      <w:r>
        <w:rPr>
          <w:rFonts w:ascii="Times-Roman" w:hAnsi="Times-Roman" w:cs="Times-Roman"/>
          <w:sz w:val="19"/>
          <w:szCs w:val="19"/>
        </w:rPr>
        <w:t xml:space="preserve">2.2 </w:t>
      </w:r>
      <w:r>
        <w:rPr>
          <w:rFonts w:ascii="Times-Italic" w:hAnsi="Times-Italic" w:cs="Times-Italic"/>
          <w:i/>
          <w:iCs/>
          <w:sz w:val="19"/>
          <w:szCs w:val="19"/>
        </w:rPr>
        <w:t>Literaturwissenschaft</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2.2.1 Epochen der deutschen Literatur vom Mittelalter bis zur Gegenwart Schwerpunkte sind zu bilden in der Literatur um 1200, der Frühen Neuzeit über die Aufklärung bis zum Sturm und Drang, der klassischromantischen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Epoche, des daran anschließenden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19. Jahrhunderts, in der Literatur der Klassischen Moderne und der Gegenwartsliteratur</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(HF)</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Von den oben genannten sechs Schwerpunkten sind drei zu wählen (BF)</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2.2.2 Vertrautheit mit zentralen epischen, dramatischen und lyrischen Werken der deutschen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Literatur, insbesondere mit den Hauptwerken bedeutender deutscher Autorinnen und Autoren auf Grund eingehender eigener Lektüre</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2.2.3 Kenntnis der wichtigsten Gattungen und Formen der deutschen Literatur und deren Entwicklung im Epochenvergleich</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2.2.4 Beziehungen zwischen der deutschen Literatur und der europäischen Kultur- und Geistesgeschichte sowie den Literaturen anderer Sprachen (HF)</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2.2.5 Wissen um die Bedeutung der herkömmlichen und neuen Medien für das literarische Leben einer Gesellschaft, Film und Filmanalyse</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2.2.6 wesentliche Aspekte der kritischen Auseinandersetzung mit der Medialität von Literatur</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2.2.7 Entwicklung des europäischen Theaters, Möglichkeiten von Inszenierungen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2.2.8 Kinder- und Jugendliteratur</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2.2.9 wichtige Methoden der Interpretation von Texten in ihren historischen, sozialen, kulturellen und philosophischen Zusammenhängen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2.2.10 verschiedene Formen der literarischen Kommunikation</w:t>
      </w:r>
    </w:p>
    <w:p w:rsidR="00BC42E4" w:rsidRDefault="00D10F5F" w:rsidP="00BC42E4">
      <w:pPr>
        <w:overflowPunct/>
        <w:textAlignment w:val="auto"/>
        <w:rPr>
          <w:rFonts w:ascii="Times-Roman" w:hAnsi="Times-Roman" w:cs="Times-Roman"/>
          <w:sz w:val="19"/>
          <w:szCs w:val="19"/>
        </w:rPr>
      </w:pPr>
    </w:p>
    <w:p w:rsidR="00BC42E4" w:rsidRDefault="006B6ACD" w:rsidP="00BC42E4">
      <w:pPr>
        <w:overflowPunct/>
        <w:textAlignment w:val="auto"/>
        <w:rPr>
          <w:rFonts w:ascii="Times-Italic" w:hAnsi="Times-Italic" w:cs="Times-Italic"/>
          <w:i/>
          <w:iCs/>
          <w:sz w:val="19"/>
          <w:szCs w:val="19"/>
        </w:rPr>
      </w:pPr>
      <w:r>
        <w:rPr>
          <w:rFonts w:ascii="Times-Roman" w:hAnsi="Times-Roman" w:cs="Times-Roman"/>
          <w:sz w:val="19"/>
          <w:szCs w:val="19"/>
        </w:rPr>
        <w:t xml:space="preserve">2.3 </w:t>
      </w:r>
      <w:r>
        <w:rPr>
          <w:rFonts w:ascii="Times-Italic" w:hAnsi="Times-Italic" w:cs="Times-Italic"/>
          <w:i/>
          <w:iCs/>
          <w:sz w:val="19"/>
          <w:szCs w:val="19"/>
        </w:rPr>
        <w:t>Sprachwissenschaft</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2.3.1 Geschichte der deutschen Sprache von den Anfängen bis zur Gegenwart.</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Schwerpunkte in der Sprachgeschichte sind zu bilden im Mittelhochdeutschen und in einer weiteren Sprachentwicklungsstufe des Deutschen. (HF)</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2.3.2 strukturelle Zusammenhänge des deutschen Sprachsystems, insbesondere der Grammatik und Lexik</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2.3.2.1 Wortebene: Laut- und Silbenstruktur von Wörtern, Flexionskategorien unter Einbeziehung der Form, Bedeutung und Verwendung der grammatischen Kategorien, Wortarten, Wortbildung, Wortbedeutung, Lexikologie und Lexikographie</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2.3.2.2 Satzebene: Struktur elementarer und komplexer Sätze, Wortgruppen und Satzglieder, Interaktion von Satzstruktur und Informationsgliederung, Satzmodalität, Satzbedeutung und Äußerungsbedeutung</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lastRenderedPageBreak/>
        <w:t>2.3.2.3 Textebene: Textsorten, Textgliederung, lexikalische und grammatische Mittel zur Herstellung von Text-Kohärenz und Text-Kohäsion unter Einschluss von Mitteln der Thematisierung und Fokussierung, logische und rhetorische Struktur von Texten, pragmatische Schlussfolgerungen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2.3.2.4 Gesprächsebene: Sprechhandlungen und Gesprächsorganisation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2.3.3 ausgewählte Kenntnisse in den Bereichen Linguistische´Pragmatik, Soziolinguistik, Psycholinguistik, Spracherwerb und Sprachentwicklung, Mediensprache; Sprachphilosophie und Argumentationstheorie (HF)</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2.3.4 Grammatische und historische Grundlagen der Orthografie</w:t>
      </w:r>
    </w:p>
    <w:p w:rsidR="00BC42E4" w:rsidRDefault="00D10F5F" w:rsidP="00BC42E4">
      <w:pPr>
        <w:overflowPunct/>
        <w:textAlignment w:val="auto"/>
        <w:rPr>
          <w:rFonts w:ascii="Times-Roman" w:hAnsi="Times-Roman" w:cs="Times-Roman"/>
          <w:sz w:val="19"/>
          <w:szCs w:val="19"/>
        </w:rPr>
      </w:pPr>
    </w:p>
    <w:p w:rsidR="00BC42E4" w:rsidRDefault="006B6ACD" w:rsidP="00BC42E4">
      <w:pPr>
        <w:overflowPunct/>
        <w:textAlignment w:val="auto"/>
        <w:rPr>
          <w:rFonts w:ascii="Times-Bold" w:hAnsi="Times-Bold" w:cs="Times-Bold"/>
          <w:b/>
          <w:bCs/>
          <w:sz w:val="19"/>
          <w:szCs w:val="19"/>
        </w:rPr>
      </w:pPr>
      <w:r>
        <w:rPr>
          <w:rFonts w:ascii="Times-Roman" w:hAnsi="Times-Roman" w:cs="Times-Roman"/>
          <w:sz w:val="19"/>
          <w:szCs w:val="19"/>
        </w:rPr>
        <w:t xml:space="preserve">3 </w:t>
      </w:r>
      <w:r>
        <w:rPr>
          <w:rFonts w:ascii="Times-Bold" w:hAnsi="Times-Bold" w:cs="Times-Bold"/>
          <w:b/>
          <w:bCs/>
          <w:sz w:val="19"/>
          <w:szCs w:val="19"/>
        </w:rPr>
        <w:t>Durchführung der abschließenden Prüfung</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Es erfolgt eine abschließende fachwissenschaftliche mündliche Prüfung. Jeweils 15 Minuten entfallen auf die Prüfung der einzelnen Schwerpunktthemen (vertieftes Wissen und Können wird erwartet) und auf die Prüfung von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Grundlagen- und Überblickswissen gemäß Kompetenzen und Studieninhalten (fundiertes Wissen und Können wird erwartet). Die Fachdidaktik ist nicht Gegenstand dieser Prüfung. Der Vorsitzende ist für die Einhaltung der formalen</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und inhaltlichen Vorgaben verantwortlich.</w:t>
      </w:r>
    </w:p>
    <w:p w:rsidR="00BC42E4" w:rsidRDefault="006B6ACD" w:rsidP="00BC42E4">
      <w:pPr>
        <w:overflowPunct/>
        <w:textAlignment w:val="auto"/>
        <w:rPr>
          <w:rFonts w:ascii="Helvetica-Bold" w:hAnsi="Helvetica-Bold" w:cs="Helvetica-Bold"/>
          <w:b/>
          <w:bCs/>
          <w:sz w:val="20"/>
        </w:rPr>
      </w:pPr>
      <w:r>
        <w:rPr>
          <w:rFonts w:ascii="Helvetica-Bold" w:hAnsi="Helvetica-Bold" w:cs="Helvetica-Bold"/>
          <w:b/>
          <w:bCs/>
          <w:sz w:val="20"/>
        </w:rPr>
        <w:t>Hinweise zur mündlichen Prüfung - GymPO vom 31.07.2009 Deutsch</w:t>
      </w:r>
    </w:p>
    <w:p w:rsidR="00BC42E4" w:rsidRDefault="006B6ACD" w:rsidP="00BC42E4">
      <w:pPr>
        <w:overflowPunct/>
        <w:textAlignment w:val="auto"/>
        <w:rPr>
          <w:rFonts w:ascii="Helvetica-Bold" w:hAnsi="Helvetica-Bold" w:cs="Helvetica-Bold"/>
          <w:b/>
          <w:bCs/>
          <w:sz w:val="18"/>
          <w:szCs w:val="18"/>
        </w:rPr>
      </w:pPr>
      <w:r>
        <w:rPr>
          <w:rFonts w:ascii="Helvetica-Bold" w:hAnsi="Helvetica-Bold" w:cs="Helvetica-Bold"/>
          <w:b/>
          <w:bCs/>
          <w:sz w:val="18"/>
          <w:szCs w:val="18"/>
        </w:rPr>
        <w:t>Anforderungen in der Prüfung</w:t>
      </w:r>
    </w:p>
    <w:p w:rsidR="00BC42E4" w:rsidRDefault="006B6ACD" w:rsidP="00BC42E4">
      <w:pPr>
        <w:overflowPunct/>
        <w:textAlignment w:val="auto"/>
        <w:rPr>
          <w:rFonts w:ascii="Times-BoldItalic" w:hAnsi="Times-BoldItalic" w:cs="Times-BoldItalic"/>
          <w:b/>
          <w:bCs/>
          <w:i/>
          <w:iCs/>
          <w:sz w:val="19"/>
          <w:szCs w:val="19"/>
        </w:rPr>
      </w:pPr>
      <w:r>
        <w:rPr>
          <w:rFonts w:ascii="Times-BoldItalic" w:hAnsi="Times-BoldItalic" w:cs="Times-BoldItalic"/>
          <w:b/>
          <w:bCs/>
          <w:i/>
          <w:iCs/>
          <w:sz w:val="19"/>
          <w:szCs w:val="19"/>
        </w:rPr>
        <w:t>Hauptfach</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Die Prüfung dauert 60 Minuten. Die Bewerber wählen in Abstimmung mit ihren Prüfern drei Schwerpunktthemen: eines aus dem Bereich Sprachwissenschaft (Sprachgeschichte oder Sprache als System oder Sprache als Mittel der Kommunikation), eines aus dem Bereich Literatur nach 1850 (Gattung oder Untergattung in mehr als einer Epoche der literarischen Moderne/ Postmoderne oder Epoche oder bedeutender deutschsprachiger Autor) und eines aus dem Bereich Literatur vor 1850 (Gattung oder Untergattung oder Epoche oder bedeutender deutschsprachiger Autor).</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Bei den beiden Schwerpunktthemen zur Literatur darf nicht zweimal dasselbe Themenfeld (Gattung/Epoche/Autor) gewählt werden. Im Bereich Literatur sind epochenübergreifende Bezüge sowie das Verhältnis von Tradition und Innovation literarischer Darstellungsformen, in der Sprachgeschichte ist der Vergleich des Gegenwartsdeutschen mit früheren Sprachstufen des Deutschen zu berücksichtigen.</w:t>
      </w:r>
    </w:p>
    <w:p w:rsidR="00BC42E4" w:rsidRDefault="006B6ACD" w:rsidP="00BC42E4">
      <w:pPr>
        <w:overflowPunct/>
        <w:textAlignment w:val="auto"/>
        <w:rPr>
          <w:rFonts w:ascii="Times-BoldItalic" w:hAnsi="Times-BoldItalic" w:cs="Times-BoldItalic"/>
          <w:b/>
          <w:bCs/>
          <w:i/>
          <w:iCs/>
          <w:sz w:val="19"/>
          <w:szCs w:val="19"/>
        </w:rPr>
      </w:pPr>
      <w:r>
        <w:rPr>
          <w:rFonts w:ascii="Times-BoldItalic" w:hAnsi="Times-BoldItalic" w:cs="Times-BoldItalic"/>
          <w:b/>
          <w:bCs/>
          <w:i/>
          <w:iCs/>
          <w:sz w:val="19"/>
          <w:szCs w:val="19"/>
        </w:rPr>
        <w:t>Beifach</w:t>
      </w:r>
    </w:p>
    <w:p w:rsidR="00BC42E4" w:rsidRDefault="006B6ACD" w:rsidP="00BC42E4">
      <w:pPr>
        <w:overflowPunct/>
        <w:textAlignment w:val="auto"/>
        <w:rPr>
          <w:rFonts w:ascii="Times-Roman" w:hAnsi="Times-Roman" w:cs="Times-Roman"/>
          <w:sz w:val="19"/>
          <w:szCs w:val="19"/>
        </w:rPr>
      </w:pPr>
      <w:r>
        <w:rPr>
          <w:rFonts w:ascii="Times-Roman" w:hAnsi="Times-Roman" w:cs="Times-Roman"/>
          <w:sz w:val="19"/>
          <w:szCs w:val="19"/>
        </w:rPr>
        <w:t>Die Prüfung dauert 45 Minuten. Die Bewerber wählen in Abstimmung mit ihren Prüfern zwei Schwerpunktthemen: eines aus dem Bereich Sprachwissenschaft (Sprache als System oder Sprache als Mittel der Kommunikation) und</w:t>
      </w:r>
    </w:p>
    <w:p w:rsidR="00BC42E4" w:rsidRPr="0045100A" w:rsidRDefault="006B6ACD" w:rsidP="00BC42E4">
      <w:pPr>
        <w:overflowPunct/>
        <w:textAlignment w:val="auto"/>
        <w:rPr>
          <w:rFonts w:ascii="Times-Roman" w:hAnsi="Times-Roman" w:cs="Times-Roman"/>
          <w:sz w:val="19"/>
          <w:szCs w:val="19"/>
        </w:rPr>
      </w:pPr>
      <w:r>
        <w:rPr>
          <w:rFonts w:ascii="Times-Roman" w:hAnsi="Times-Roman" w:cs="Times-Roman"/>
          <w:sz w:val="19"/>
          <w:szCs w:val="19"/>
        </w:rPr>
        <w:t>eines aus dem Bereich Literatur ab dem 18. Jh. (Epoche oder Gattung oder Untergattung oder bedeutender deutschsprachiger Autor). Im Bereich Literatur sind epochenübergreifende Bezüge sowie das Verhältnis von Tradition und Innovation literarischer Darstellungsformen zu berücksichtigen.</w:t>
      </w:r>
    </w:p>
    <w:p w:rsidR="00BC42E4" w:rsidRDefault="00D10F5F" w:rsidP="00A22D67"/>
    <w:sectPr w:rsidR="00BC42E4" w:rsidSect="00A22D67">
      <w:headerReference w:type="even" r:id="rId7"/>
      <w:headerReference w:type="default" r:id="rId8"/>
      <w:footerReference w:type="even" r:id="rId9"/>
      <w:footerReference w:type="default" r:id="rId10"/>
      <w:headerReference w:type="first" r:id="rId11"/>
      <w:footerReference w:type="first" r:id="rId12"/>
      <w:pgSz w:w="11906" w:h="16838"/>
      <w:pgMar w:top="709" w:right="1134" w:bottom="993"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E3" w:rsidRDefault="006B6ACD">
      <w:r>
        <w:separator/>
      </w:r>
    </w:p>
  </w:endnote>
  <w:endnote w:type="continuationSeparator" w:id="0">
    <w:p w:rsidR="00D409E3" w:rsidRDefault="006B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8" w:rsidRDefault="00C935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8" w:rsidRDefault="00C9350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8" w:rsidRDefault="00C935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E3" w:rsidRDefault="006B6ACD">
      <w:r>
        <w:separator/>
      </w:r>
    </w:p>
  </w:footnote>
  <w:footnote w:type="continuationSeparator" w:id="0">
    <w:p w:rsidR="00D409E3" w:rsidRDefault="006B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6B6AC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736D6" w:rsidRDefault="00D10F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D6" w:rsidRDefault="00D10F5F">
    <w:pPr>
      <w:pStyle w:val="Kopfzeile"/>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508" w:rsidRDefault="00C935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CD"/>
    <w:rsid w:val="006B6ACD"/>
    <w:rsid w:val="00C93508"/>
    <w:rsid w:val="00D10F5F"/>
    <w:rsid w:val="00D409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A26E36-A036-4BC9-95FE-47DE0AFA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B703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3B2"/>
    <w:rPr>
      <w:rFonts w:ascii="Tahoma" w:hAnsi="Tahoma" w:cs="Tahoma"/>
      <w:sz w:val="16"/>
      <w:szCs w:val="16"/>
    </w:rPr>
  </w:style>
  <w:style w:type="table" w:styleId="Tabellenraster">
    <w:name w:val="Table Grid"/>
    <w:basedOn w:val="NormaleTabelle"/>
    <w:uiPriority w:val="59"/>
    <w:rsid w:val="00B7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C43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45F8DFA114CA0ADE55168C4B52492"/>
        <w:category>
          <w:name w:val="Allgemein"/>
          <w:gallery w:val="placeholder"/>
        </w:category>
        <w:types>
          <w:type w:val="bbPlcHdr"/>
        </w:types>
        <w:behaviors>
          <w:behavior w:val="content"/>
        </w:behaviors>
        <w:guid w:val="{D92B7534-7465-4059-9368-6200FED44903}"/>
      </w:docPartPr>
      <w:docPartBody>
        <w:p w:rsidR="007E1688" w:rsidRDefault="000623AC" w:rsidP="000623AC">
          <w:pPr>
            <w:pStyle w:val="48F45F8DFA114CA0ADE55168C4B524922"/>
          </w:pPr>
          <w:bookmarkStart w:id="0" w:name="_GoBack"/>
          <w:r>
            <w:rPr>
              <w:rStyle w:val="Platzhaltertext"/>
            </w:rPr>
            <w:t>Name eingeben</w:t>
          </w:r>
          <w:bookmarkEnd w:id="0"/>
        </w:p>
      </w:docPartBody>
    </w:docPart>
    <w:docPart>
      <w:docPartPr>
        <w:name w:val="8133985C406E40939C55375DA0031AB4"/>
        <w:category>
          <w:name w:val="Allgemein"/>
          <w:gallery w:val="placeholder"/>
        </w:category>
        <w:types>
          <w:type w:val="bbPlcHdr"/>
        </w:types>
        <w:behaviors>
          <w:behavior w:val="content"/>
        </w:behaviors>
        <w:guid w:val="{98853BD4-D750-4B34-894C-AE16D285CA6F}"/>
      </w:docPartPr>
      <w:docPartBody>
        <w:p w:rsidR="007E1688" w:rsidRDefault="000623AC" w:rsidP="000623AC">
          <w:pPr>
            <w:pStyle w:val="8133985C406E40939C55375DA0031AB42"/>
          </w:pPr>
          <w:r>
            <w:rPr>
              <w:rStyle w:val="Platzhaltertext"/>
            </w:rPr>
            <w:t>Vorname eingeben</w:t>
          </w:r>
        </w:p>
      </w:docPartBody>
    </w:docPart>
    <w:docPart>
      <w:docPartPr>
        <w:name w:val="6C6D2763C8F846ECB12F455619E556B9"/>
        <w:category>
          <w:name w:val="Allgemein"/>
          <w:gallery w:val="placeholder"/>
        </w:category>
        <w:types>
          <w:type w:val="bbPlcHdr"/>
        </w:types>
        <w:behaviors>
          <w:behavior w:val="content"/>
        </w:behaviors>
        <w:guid w:val="{1D868FE6-A35C-492D-87FD-2527AE713573}"/>
      </w:docPartPr>
      <w:docPartBody>
        <w:p w:rsidR="007E1688" w:rsidRDefault="000623AC" w:rsidP="000623AC">
          <w:pPr>
            <w:pStyle w:val="6C6D2763C8F846ECB12F455619E556B92"/>
          </w:pPr>
          <w:r w:rsidRPr="004F2662">
            <w:rPr>
              <w:rStyle w:val="Platzhaltertext"/>
              <w:szCs w:val="24"/>
            </w:rPr>
            <w:t>wählen</w:t>
          </w:r>
        </w:p>
      </w:docPartBody>
    </w:docPart>
    <w:docPart>
      <w:docPartPr>
        <w:name w:val="E3DB91BC57954CC4ABF6AB6CC2F7D51B"/>
        <w:category>
          <w:name w:val="Allgemein"/>
          <w:gallery w:val="placeholder"/>
        </w:category>
        <w:types>
          <w:type w:val="bbPlcHdr"/>
        </w:types>
        <w:behaviors>
          <w:behavior w:val="content"/>
        </w:behaviors>
        <w:guid w:val="{D2E22560-259B-4898-B6AB-7E1689D33D3F}"/>
      </w:docPartPr>
      <w:docPartBody>
        <w:p w:rsidR="005A045C" w:rsidRDefault="00824E24" w:rsidP="00824E24">
          <w:pPr>
            <w:pStyle w:val="E3DB91BC57954CC4ABF6AB6CC2F7D51B"/>
          </w:pP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F6"/>
    <w:rsid w:val="000623AC"/>
    <w:rsid w:val="005A045C"/>
    <w:rsid w:val="007E1688"/>
    <w:rsid w:val="00824E24"/>
    <w:rsid w:val="00D26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4E24"/>
    <w:rPr>
      <w:color w:val="808080"/>
    </w:rPr>
  </w:style>
  <w:style w:type="paragraph" w:customStyle="1" w:styleId="48F45F8DFA114CA0ADE55168C4B52492">
    <w:name w:val="48F45F8DFA114CA0ADE55168C4B524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
    <w:name w:val="8133985C406E40939C55375DA0031AB4"/>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
    <w:name w:val="6C6D2763C8F846ECB12F455619E556B9"/>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
    <w:name w:val="14E25288F4634B84BC2A8A9A12D21C75"/>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
    <w:name w:val="B2B8BF2800E3490693135A8493E2C5EE"/>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
    <w:name w:val="0DDA26C30A8049DABA0BA49F8281552D"/>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
    <w:name w:val="89E71734A00D413FAEB6FA1E3A3BBD70"/>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
    <w:name w:val="EFCC881912C142828CAAD2262373812B"/>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
    <w:name w:val="D02915FFCB40436B88EC24C0BB0FD43A"/>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
    <w:name w:val="6698DC2B83F44B8BA0BB51CE45B05AC3"/>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
    <w:name w:val="E4B60D9145284E1EA7BDD1B45A449B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
    <w:name w:val="3986FFDCDCEA4A66B749F74D87096FF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
    <w:name w:val="40F17B27DFE54AC99ACB4EB041A49447"/>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1">
    <w:name w:val="48F45F8DFA114CA0ADE55168C4B52492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1">
    <w:name w:val="8133985C406E40939C55375DA0031AB4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1">
    <w:name w:val="6C6D2763C8F846ECB12F455619E556B9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1">
    <w:name w:val="14E25288F4634B84BC2A8A9A12D21C75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1">
    <w:name w:val="B2B8BF2800E3490693135A8493E2C5EE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1">
    <w:name w:val="0DDA26C30A8049DABA0BA49F8281552D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1">
    <w:name w:val="89E71734A00D413FAEB6FA1E3A3BBD70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1">
    <w:name w:val="EFCC881912C142828CAAD2262373812B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1">
    <w:name w:val="D02915FFCB40436B88EC24C0BB0FD43A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1">
    <w:name w:val="6698DC2B83F44B8BA0BB51CE45B05AC3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1">
    <w:name w:val="E4B60D9145284E1EA7BDD1B45A449B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1">
    <w:name w:val="3986FFDCDCEA4A66B749F74D87096FF1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1">
    <w:name w:val="40F17B27DFE54AC99ACB4EB041A494471"/>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8F45F8DFA114CA0ADE55168C4B524922">
    <w:name w:val="48F45F8DFA114CA0ADE55168C4B52492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133985C406E40939C55375DA0031AB42">
    <w:name w:val="8133985C406E40939C55375DA0031AB4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C6D2763C8F846ECB12F455619E556B92">
    <w:name w:val="6C6D2763C8F846ECB12F455619E556B9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14E25288F4634B84BC2A8A9A12D21C752">
    <w:name w:val="14E25288F4634B84BC2A8A9A12D21C75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B2B8BF2800E3490693135A8493E2C5EE2">
    <w:name w:val="B2B8BF2800E3490693135A8493E2C5EE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0DDA26C30A8049DABA0BA49F8281552D2">
    <w:name w:val="0DDA26C30A8049DABA0BA49F8281552D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89E71734A00D413FAEB6FA1E3A3BBD702">
    <w:name w:val="89E71734A00D413FAEB6FA1E3A3BBD70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FCC881912C142828CAAD2262373812B2">
    <w:name w:val="EFCC881912C142828CAAD2262373812B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D02915FFCB40436B88EC24C0BB0FD43A2">
    <w:name w:val="D02915FFCB40436B88EC24C0BB0FD43A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6698DC2B83F44B8BA0BB51CE45B05AC32">
    <w:name w:val="6698DC2B83F44B8BA0BB51CE45B05AC3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4B60D9145284E1EA7BDD1B45A449BF12">
    <w:name w:val="E4B60D9145284E1EA7BDD1B45A449B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3986FFDCDCEA4A66B749F74D87096FF12">
    <w:name w:val="3986FFDCDCEA4A66B749F74D87096FF1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40F17B27DFE54AC99ACB4EB041A494472">
    <w:name w:val="40F17B27DFE54AC99ACB4EB041A494472"/>
    <w:rsid w:val="000623A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paragraph" w:customStyle="1" w:styleId="E3DB91BC57954CC4ABF6AB6CC2F7D51B">
    <w:name w:val="E3DB91BC57954CC4ABF6AB6CC2F7D51B"/>
    <w:rsid w:val="00824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7101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Layer, Jürgen (RPK)</dc:creator>
  <cp:lastModifiedBy>Laier, Claudia (RPK)</cp:lastModifiedBy>
  <cp:revision>4</cp:revision>
  <cp:lastPrinted>2015-04-15T10:31:00Z</cp:lastPrinted>
  <dcterms:created xsi:type="dcterms:W3CDTF">2020-08-30T14:00:00Z</dcterms:created>
  <dcterms:modified xsi:type="dcterms:W3CDTF">2022-11-11T07:37:00Z</dcterms:modified>
</cp:coreProperties>
</file>