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896545"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896545" w:rsidP="00B703B2">
      <w:pPr>
        <w:jc w:val="center"/>
      </w:pPr>
      <w:r w:rsidRPr="00B703B2">
        <w:t>MINISTERIUM FÜR KULTUS, JUGEND UND SPORT</w:t>
      </w:r>
    </w:p>
    <w:p w:rsidR="00B703B2" w:rsidRDefault="00896545" w:rsidP="00B703B2">
      <w:pPr>
        <w:jc w:val="center"/>
      </w:pPr>
      <w:bookmarkStart w:id="0" w:name="Schreiben__1Z"/>
      <w:bookmarkEnd w:id="0"/>
      <w:r w:rsidRPr="00B703B2">
        <w:t>Landeslehrerprüfungsamt -  Außenstelle beim Regierungspräsidium Karlsruhe</w:t>
      </w:r>
    </w:p>
    <w:p w:rsidR="00B703B2" w:rsidRDefault="000D2241"/>
    <w:p w:rsidR="00B703B2" w:rsidRDefault="00896545"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896545"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0D2241"/>
    <w:p w:rsidR="006C7C5C" w:rsidRDefault="000D2241"/>
    <w:p w:rsidR="006C7C5C" w:rsidRDefault="000D224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896545"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896545">
            <w:r>
              <w:t>Universität</w:t>
            </w:r>
          </w:p>
        </w:tc>
        <w:tc>
          <w:tcPr>
            <w:tcW w:w="2208" w:type="dxa"/>
          </w:tcPr>
          <w:p w:rsidR="00B703B2" w:rsidRPr="00D40DB5" w:rsidRDefault="00896545" w:rsidP="00D40DB5">
            <w:pPr>
              <w:jc w:val="center"/>
              <w:rPr>
                <w:b/>
                <w:sz w:val="28"/>
                <w:szCs w:val="28"/>
              </w:rPr>
            </w:pPr>
            <w:r>
              <w:rPr>
                <w:b/>
                <w:sz w:val="28"/>
                <w:szCs w:val="28"/>
              </w:rPr>
              <w:t>Spanisch</w:t>
            </w:r>
          </w:p>
        </w:tc>
      </w:tr>
      <w:tr w:rsidR="00B703B2" w:rsidTr="00E50C29">
        <w:tc>
          <w:tcPr>
            <w:tcW w:w="4928" w:type="dxa"/>
          </w:tcPr>
          <w:p w:rsidR="00B703B2" w:rsidRDefault="00896545"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5BC0DB6A8B634E0BBE3309CC7289FF7A"/>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896545">
                <w:r>
                  <w:rPr>
                    <w:rStyle w:val="Platzhaltertext"/>
                  </w:rPr>
                  <w:t>wählen</w:t>
                </w:r>
              </w:p>
            </w:tc>
          </w:sdtContent>
        </w:sdt>
        <w:tc>
          <w:tcPr>
            <w:tcW w:w="2208" w:type="dxa"/>
          </w:tcPr>
          <w:p w:rsidR="00B703B2" w:rsidRDefault="00896545"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0D2241"/>
        </w:tc>
        <w:tc>
          <w:tcPr>
            <w:tcW w:w="2410" w:type="dxa"/>
          </w:tcPr>
          <w:p w:rsidR="00B703B2" w:rsidRDefault="00896545"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896545"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0D2241"/>
        </w:tc>
        <w:tc>
          <w:tcPr>
            <w:tcW w:w="2410" w:type="dxa"/>
          </w:tcPr>
          <w:p w:rsidR="00B703B2" w:rsidRDefault="00896545"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896545"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0D2241"/>
        </w:tc>
        <w:tc>
          <w:tcPr>
            <w:tcW w:w="2410" w:type="dxa"/>
          </w:tcPr>
          <w:p w:rsidR="006C7C5C" w:rsidRDefault="000D2241"/>
        </w:tc>
        <w:tc>
          <w:tcPr>
            <w:tcW w:w="2208" w:type="dxa"/>
          </w:tcPr>
          <w:p w:rsidR="006C7C5C" w:rsidRDefault="000D2241"/>
        </w:tc>
      </w:tr>
      <w:tr w:rsidR="00B703B2" w:rsidTr="00E50C29">
        <w:tc>
          <w:tcPr>
            <w:tcW w:w="4928" w:type="dxa"/>
          </w:tcPr>
          <w:p w:rsidR="00B703B2" w:rsidRDefault="00896545">
            <w:r>
              <w:t>Wissenschaftliche Arbeit im Fach</w:t>
            </w:r>
          </w:p>
        </w:tc>
        <w:sdt>
          <w:sdtPr>
            <w:id w:val="1080181551"/>
            <w:showingPlcHdr/>
          </w:sdtPr>
          <w:sdtEndPr/>
          <w:sdtContent>
            <w:tc>
              <w:tcPr>
                <w:tcW w:w="2410" w:type="dxa"/>
              </w:tcPr>
              <w:p w:rsidR="00B703B2" w:rsidRDefault="00896545" w:rsidP="004F2662">
                <w:r>
                  <w:rPr>
                    <w:rStyle w:val="Platzhaltertext"/>
                  </w:rPr>
                  <w:t>Fach</w:t>
                </w:r>
                <w:r w:rsidRPr="0031253B">
                  <w:rPr>
                    <w:rStyle w:val="Platzhaltertext"/>
                  </w:rPr>
                  <w:t xml:space="preserve"> eingeben.</w:t>
                </w:r>
              </w:p>
            </w:tc>
          </w:sdtContent>
        </w:sdt>
        <w:tc>
          <w:tcPr>
            <w:tcW w:w="2208" w:type="dxa"/>
          </w:tcPr>
          <w:p w:rsidR="00B703B2" w:rsidRDefault="000D2241"/>
        </w:tc>
      </w:tr>
      <w:tr w:rsidR="00B703B2" w:rsidTr="00E50C29">
        <w:tc>
          <w:tcPr>
            <w:tcW w:w="4928" w:type="dxa"/>
          </w:tcPr>
          <w:p w:rsidR="00B703B2" w:rsidRDefault="00896545">
            <w:r>
              <w:t>Thema:</w:t>
            </w:r>
          </w:p>
        </w:tc>
        <w:tc>
          <w:tcPr>
            <w:tcW w:w="2410" w:type="dxa"/>
          </w:tcPr>
          <w:p w:rsidR="00B703B2" w:rsidRDefault="000D2241"/>
        </w:tc>
        <w:tc>
          <w:tcPr>
            <w:tcW w:w="2208" w:type="dxa"/>
          </w:tcPr>
          <w:p w:rsidR="00B703B2" w:rsidRDefault="000D2241"/>
        </w:tc>
      </w:tr>
      <w:tr w:rsidR="006C7C5C" w:rsidTr="00E50C29">
        <w:sdt>
          <w:sdtPr>
            <w:id w:val="1589888833"/>
            <w:showingPlcHdr/>
          </w:sdtPr>
          <w:sdtEndPr/>
          <w:sdtContent>
            <w:bookmarkStart w:id="1" w:name="_GoBack" w:displacedByCustomXml="prev"/>
            <w:tc>
              <w:tcPr>
                <w:tcW w:w="9546" w:type="dxa"/>
                <w:gridSpan w:val="3"/>
              </w:tcPr>
              <w:p w:rsidR="006C7C5C" w:rsidRDefault="00896545" w:rsidP="004F2662">
                <w:r>
                  <w:rPr>
                    <w:rStyle w:val="Platzhaltertext"/>
                  </w:rPr>
                  <w:t>Thema ein</w:t>
                </w:r>
                <w:r w:rsidRPr="0031253B">
                  <w:rPr>
                    <w:rStyle w:val="Platzhaltertext"/>
                  </w:rPr>
                  <w:t>geben.</w:t>
                </w:r>
              </w:p>
            </w:tc>
            <w:bookmarkEnd w:id="1" w:displacedByCustomXml="next"/>
          </w:sdtContent>
        </w:sdt>
      </w:tr>
      <w:tr w:rsidR="006C7C5C" w:rsidTr="00E50C29">
        <w:tc>
          <w:tcPr>
            <w:tcW w:w="9546" w:type="dxa"/>
            <w:gridSpan w:val="3"/>
          </w:tcPr>
          <w:p w:rsidR="006C7C5C" w:rsidRDefault="000D2241"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F05791" w:rsidRPr="005420C4" w:rsidRDefault="00F05791" w:rsidP="00F05791">
            <w:pPr>
              <w:overflowPunct/>
              <w:textAlignment w:val="auto"/>
              <w:rPr>
                <w:b/>
                <w:bCs/>
                <w:sz w:val="20"/>
              </w:rPr>
            </w:pPr>
            <w:r w:rsidRPr="005420C4">
              <w:rPr>
                <w:b/>
                <w:bCs/>
                <w:sz w:val="20"/>
              </w:rPr>
              <w:t>Vom Bewerber in Abstimmung mit den Prüfern zu wählende Schwerpunktthemen.</w:t>
            </w:r>
          </w:p>
          <w:p w:rsidR="00F05791" w:rsidRPr="005420C4" w:rsidRDefault="00F05791" w:rsidP="00F05791">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F05791" w:rsidRDefault="00F05791" w:rsidP="00F05791"/>
          <w:p w:rsidR="00B703B2" w:rsidRDefault="000D2241"/>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896545" w:rsidP="00823AD1">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sidRPr="001B20EB">
              <w:rPr>
                <w:b/>
                <w:bCs/>
                <w:szCs w:val="24"/>
              </w:rPr>
              <w:t>Sprachwissenschaft (</w:t>
            </w:r>
            <w:r>
              <w:rPr>
                <w:b/>
                <w:bCs/>
                <w:szCs w:val="24"/>
              </w:rPr>
              <w:t>gegenwartsbezogen; Haupt- und Beifach</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896545"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896545"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0D2241" w:rsidP="008918E1">
            <w:pPr>
              <w:jc w:val="center"/>
            </w:pPr>
          </w:p>
          <w:p w:rsidR="008918E1" w:rsidRDefault="00896545"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896545" w:rsidP="00823AD1">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Sprachwissenschaft</w:t>
            </w:r>
            <w:r w:rsidRPr="001B20EB">
              <w:rPr>
                <w:b/>
                <w:bCs/>
                <w:szCs w:val="24"/>
              </w:rPr>
              <w:t xml:space="preserve"> (Hauptfach):</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896545"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896545"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0D2241" w:rsidP="00BA22C0">
            <w:pPr>
              <w:jc w:val="center"/>
            </w:pPr>
          </w:p>
          <w:p w:rsidR="008918E1" w:rsidRDefault="00896545"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896545" w:rsidP="00823AD1">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sidRPr="001B20EB">
              <w:rPr>
                <w:b/>
                <w:bCs/>
                <w:szCs w:val="24"/>
              </w:rPr>
              <w:t xml:space="preserve">Literatur </w:t>
            </w:r>
            <w:r>
              <w:rPr>
                <w:b/>
                <w:bCs/>
                <w:szCs w:val="24"/>
              </w:rPr>
              <w:t>(</w:t>
            </w:r>
            <w:r w:rsidRPr="001B20EB">
              <w:rPr>
                <w:b/>
                <w:bCs/>
                <w:szCs w:val="24"/>
              </w:rPr>
              <w:t>Hauptfach</w:t>
            </w:r>
            <w:r>
              <w:rPr>
                <w:b/>
                <w:bCs/>
                <w:szCs w:val="24"/>
              </w:rPr>
              <w:t xml:space="preserve"> 20. bis 21. Jahrhundert; Beifach 19. bis 21. Jahrhundert</w:t>
            </w:r>
            <w:r w:rsidRPr="001B20EB">
              <w:rPr>
                <w:b/>
                <w:bCs/>
                <w:szCs w:val="24"/>
              </w:rPr>
              <w:t>):</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896545"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896545"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0D2241" w:rsidP="00BA22C0">
            <w:pPr>
              <w:jc w:val="center"/>
            </w:pPr>
          </w:p>
          <w:p w:rsidR="008918E1" w:rsidRDefault="00896545"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Default="00896545" w:rsidP="00823AD1">
            <w:pPr>
              <w:overflowPunct/>
              <w:spacing w:before="120" w:after="120"/>
              <w:textAlignment w:val="auto"/>
            </w:pPr>
            <w:r>
              <w:rPr>
                <w:rFonts w:ascii="Helvetica-Bold" w:hAnsi="Helvetica-Bold" w:cs="Helvetica-Bold"/>
                <w:b/>
                <w:bCs/>
                <w:szCs w:val="24"/>
              </w:rPr>
              <w:t xml:space="preserve">IV. </w:t>
            </w:r>
            <w:r w:rsidRPr="001B20EB">
              <w:rPr>
                <w:b/>
                <w:bCs/>
                <w:szCs w:val="24"/>
              </w:rPr>
              <w:t xml:space="preserve">Literatur </w:t>
            </w:r>
            <w:r>
              <w:rPr>
                <w:b/>
                <w:bCs/>
                <w:szCs w:val="24"/>
              </w:rPr>
              <w:t>16. bis 21. Jahrhundert (Hauptfach)</w:t>
            </w:r>
          </w:p>
        </w:tc>
      </w:tr>
      <w:tr w:rsidR="008918E1" w:rsidTr="00E50C29">
        <w:trPr>
          <w:trHeight w:val="851"/>
        </w:trPr>
        <w:sdt>
          <w:sdtPr>
            <w:id w:val="-32189083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896545" w:rsidP="004C6A85">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896545" w:rsidP="004C6A85">
            <w:pPr>
              <w:jc w:val="center"/>
            </w:pPr>
            <w:r>
              <w:t>Prüfer:</w:t>
            </w:r>
            <w:r>
              <w:br/>
            </w:r>
            <w:sdt>
              <w:sdtPr>
                <w:id w:val="-883491215"/>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0D2241" w:rsidP="00BA22C0">
            <w:pPr>
              <w:jc w:val="center"/>
            </w:pPr>
          </w:p>
          <w:p w:rsidR="008918E1" w:rsidRDefault="00896545"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0D2241"/>
        </w:tc>
        <w:tc>
          <w:tcPr>
            <w:tcW w:w="2410" w:type="dxa"/>
            <w:tcBorders>
              <w:top w:val="single" w:sz="4" w:space="0" w:color="auto"/>
              <w:left w:val="single" w:sz="4" w:space="0" w:color="auto"/>
              <w:right w:val="single" w:sz="4" w:space="0" w:color="auto"/>
            </w:tcBorders>
          </w:tcPr>
          <w:p w:rsidR="008918E1" w:rsidRDefault="000D2241"/>
        </w:tc>
        <w:tc>
          <w:tcPr>
            <w:tcW w:w="2208" w:type="dxa"/>
            <w:tcBorders>
              <w:top w:val="single" w:sz="4" w:space="0" w:color="auto"/>
              <w:left w:val="single" w:sz="4" w:space="0" w:color="auto"/>
              <w:right w:val="single" w:sz="4" w:space="0" w:color="auto"/>
            </w:tcBorders>
          </w:tcPr>
          <w:p w:rsidR="008918E1" w:rsidRDefault="000D2241"/>
        </w:tc>
      </w:tr>
      <w:tr w:rsidR="008918E1" w:rsidTr="00E50C29">
        <w:tc>
          <w:tcPr>
            <w:tcW w:w="4928" w:type="dxa"/>
            <w:tcBorders>
              <w:left w:val="single" w:sz="4" w:space="0" w:color="auto"/>
              <w:right w:val="single" w:sz="4" w:space="0" w:color="auto"/>
            </w:tcBorders>
          </w:tcPr>
          <w:p w:rsidR="008918E1" w:rsidRDefault="000D2241"/>
        </w:tc>
        <w:tc>
          <w:tcPr>
            <w:tcW w:w="2410" w:type="dxa"/>
            <w:tcBorders>
              <w:left w:val="single" w:sz="4" w:space="0" w:color="auto"/>
              <w:right w:val="single" w:sz="4" w:space="0" w:color="auto"/>
            </w:tcBorders>
          </w:tcPr>
          <w:p w:rsidR="008918E1" w:rsidRDefault="000D2241"/>
        </w:tc>
        <w:tc>
          <w:tcPr>
            <w:tcW w:w="2208" w:type="dxa"/>
            <w:tcBorders>
              <w:left w:val="single" w:sz="4" w:space="0" w:color="auto"/>
              <w:right w:val="single" w:sz="4" w:space="0" w:color="auto"/>
            </w:tcBorders>
          </w:tcPr>
          <w:p w:rsidR="008918E1" w:rsidRDefault="000D2241"/>
        </w:tc>
      </w:tr>
      <w:tr w:rsidR="008918E1" w:rsidTr="00E50C29">
        <w:tc>
          <w:tcPr>
            <w:tcW w:w="4928" w:type="dxa"/>
            <w:tcBorders>
              <w:left w:val="single" w:sz="4" w:space="0" w:color="auto"/>
              <w:bottom w:val="single" w:sz="4" w:space="0" w:color="auto"/>
              <w:right w:val="single" w:sz="4" w:space="0" w:color="auto"/>
            </w:tcBorders>
          </w:tcPr>
          <w:p w:rsidR="006C7C5C" w:rsidRDefault="000D2241" w:rsidP="006C7C5C">
            <w:pPr>
              <w:jc w:val="center"/>
            </w:pPr>
          </w:p>
          <w:p w:rsidR="008918E1" w:rsidRDefault="00896545"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0D2241" w:rsidP="00A22D67"/>
          <w:p w:rsidR="008918E1" w:rsidRDefault="00896545" w:rsidP="00A22D67">
            <w:r>
              <w:t>Datum</w:t>
            </w:r>
          </w:p>
        </w:tc>
        <w:tc>
          <w:tcPr>
            <w:tcW w:w="2208" w:type="dxa"/>
            <w:tcBorders>
              <w:left w:val="single" w:sz="4" w:space="0" w:color="auto"/>
              <w:bottom w:val="single" w:sz="4" w:space="0" w:color="auto"/>
              <w:right w:val="single" w:sz="4" w:space="0" w:color="auto"/>
            </w:tcBorders>
          </w:tcPr>
          <w:p w:rsidR="006C7C5C" w:rsidRDefault="000D2241"/>
        </w:tc>
      </w:tr>
      <w:tr w:rsidR="008918E1" w:rsidTr="00E50C29">
        <w:tc>
          <w:tcPr>
            <w:tcW w:w="4928" w:type="dxa"/>
            <w:tcBorders>
              <w:top w:val="single" w:sz="4" w:space="0" w:color="auto"/>
            </w:tcBorders>
          </w:tcPr>
          <w:p w:rsidR="008918E1" w:rsidRDefault="000D2241"/>
        </w:tc>
        <w:tc>
          <w:tcPr>
            <w:tcW w:w="2410" w:type="dxa"/>
            <w:tcBorders>
              <w:top w:val="single" w:sz="4" w:space="0" w:color="auto"/>
            </w:tcBorders>
          </w:tcPr>
          <w:p w:rsidR="008918E1" w:rsidRDefault="000D2241"/>
        </w:tc>
        <w:tc>
          <w:tcPr>
            <w:tcW w:w="2208" w:type="dxa"/>
            <w:tcBorders>
              <w:top w:val="single" w:sz="4" w:space="0" w:color="auto"/>
            </w:tcBorders>
          </w:tcPr>
          <w:p w:rsidR="008918E1" w:rsidRDefault="000D2241"/>
        </w:tc>
      </w:tr>
    </w:tbl>
    <w:p w:rsidR="00B703B2" w:rsidRDefault="00896545" w:rsidP="00A22D67">
      <w:pPr>
        <w:rPr>
          <w:rFonts w:ascii="Helvetica" w:hAnsi="Helvetica" w:cs="Helvetica"/>
          <w:sz w:val="20"/>
        </w:rPr>
      </w:pPr>
      <w:r>
        <w:rPr>
          <w:rFonts w:ascii="Helvetica-Bold" w:hAnsi="Helvetica-Bold" w:cs="Helvetica-Bold"/>
          <w:b/>
          <w:bCs/>
          <w:sz w:val="20"/>
        </w:rPr>
        <w:lastRenderedPageBreak/>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0D2241" w:rsidP="00A22D67">
      <w:pPr>
        <w:rPr>
          <w:rFonts w:ascii="Helvetica" w:hAnsi="Helvetica" w:cs="Helvetica"/>
          <w:sz w:val="20"/>
        </w:rPr>
      </w:pPr>
    </w:p>
    <w:p w:rsidR="00BC42E4" w:rsidRDefault="000D2241" w:rsidP="00A22D67">
      <w:pPr>
        <w:rPr>
          <w:rFonts w:ascii="Helvetica" w:hAnsi="Helvetica" w:cs="Helvetica"/>
          <w:sz w:val="20"/>
        </w:rPr>
      </w:pPr>
    </w:p>
    <w:p w:rsidR="00BC42E4" w:rsidRDefault="000D2241" w:rsidP="00BC42E4">
      <w:pPr>
        <w:overflowPunct/>
        <w:textAlignment w:val="auto"/>
        <w:rPr>
          <w:rFonts w:ascii="Helvetica-Bold" w:hAnsi="Helvetica-Bold" w:cs="Helvetica-Bold"/>
          <w:b/>
          <w:bCs/>
          <w:sz w:val="20"/>
        </w:rPr>
      </w:pPr>
    </w:p>
    <w:p w:rsidR="00BC42E4" w:rsidRDefault="00896545"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Spanisch</w:t>
      </w:r>
    </w:p>
    <w:p w:rsidR="00BC42E4" w:rsidRPr="009C3822" w:rsidRDefault="00896545"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0D2241" w:rsidP="00BC42E4">
      <w:pPr>
        <w:overflowPunct/>
        <w:textAlignment w:val="auto"/>
        <w:rPr>
          <w:rFonts w:ascii="Helvetica-Bold" w:hAnsi="Helvetica-Bold" w:cs="Helvetica-Bold"/>
          <w:b/>
          <w:bCs/>
          <w:sz w:val="18"/>
          <w:szCs w:val="18"/>
        </w:rPr>
      </w:pPr>
    </w:p>
    <w:p w:rsidR="00BC42E4" w:rsidRDefault="00896545"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BC42E4" w:rsidRPr="00AB1DA0" w:rsidRDefault="00896545" w:rsidP="00BC42E4">
      <w:pPr>
        <w:overflowPunct/>
        <w:textAlignment w:val="auto"/>
        <w:rPr>
          <w:sz w:val="20"/>
        </w:rPr>
      </w:pPr>
      <w:r w:rsidRPr="00AB1DA0">
        <w:rPr>
          <w:sz w:val="20"/>
        </w:rPr>
        <w:t>Die Studienabsolventinnen und -absolventen</w:t>
      </w:r>
    </w:p>
    <w:p w:rsidR="00AB1DA0" w:rsidRPr="00AB1DA0" w:rsidRDefault="00896545" w:rsidP="00AB1DA0">
      <w:pPr>
        <w:overflowPunct/>
        <w:textAlignment w:val="auto"/>
        <w:rPr>
          <w:sz w:val="20"/>
        </w:rPr>
      </w:pPr>
      <w:r w:rsidRPr="00AB1DA0">
        <w:rPr>
          <w:sz w:val="20"/>
        </w:rPr>
        <w:t>1.1 verfügen über eine fremdsprachliche Kompetenz, die sich am GeR orientiert und in Einzelkompetenzen</w:t>
      </w:r>
    </w:p>
    <w:p w:rsidR="00AB1DA0" w:rsidRPr="00AB1DA0" w:rsidRDefault="00896545" w:rsidP="00AB1DA0">
      <w:pPr>
        <w:overflowPunct/>
        <w:textAlignment w:val="auto"/>
        <w:rPr>
          <w:sz w:val="20"/>
        </w:rPr>
      </w:pPr>
      <w:r w:rsidRPr="00AB1DA0">
        <w:rPr>
          <w:sz w:val="20"/>
        </w:rPr>
        <w:t>der Niveaustufe C 2 entspricht,</w:t>
      </w:r>
    </w:p>
    <w:p w:rsidR="00AB1DA0" w:rsidRPr="00AB1DA0" w:rsidRDefault="00896545" w:rsidP="00AB1DA0">
      <w:pPr>
        <w:overflowPunct/>
        <w:textAlignment w:val="auto"/>
        <w:rPr>
          <w:sz w:val="20"/>
        </w:rPr>
      </w:pPr>
      <w:r w:rsidRPr="00AB1DA0">
        <w:rPr>
          <w:sz w:val="20"/>
        </w:rPr>
        <w:t>1.2 verfügen über authentische Erfahrungen und Kenntnisse, die sie möglichst im Rahmen eines</w:t>
      </w:r>
    </w:p>
    <w:p w:rsidR="00AB1DA0" w:rsidRPr="00AB1DA0" w:rsidRDefault="00896545" w:rsidP="00AB1DA0">
      <w:pPr>
        <w:overflowPunct/>
        <w:textAlignment w:val="auto"/>
        <w:rPr>
          <w:sz w:val="20"/>
        </w:rPr>
      </w:pPr>
      <w:r w:rsidRPr="00AB1DA0">
        <w:rPr>
          <w:sz w:val="20"/>
        </w:rPr>
        <w:t>zusammenhängenden mehrmonatigen Aufenthaltes in Ländern der Zielsprache erworben haben,</w:t>
      </w:r>
    </w:p>
    <w:p w:rsidR="00AB1DA0" w:rsidRPr="00AB1DA0" w:rsidRDefault="00896545" w:rsidP="00AB1DA0">
      <w:pPr>
        <w:overflowPunct/>
        <w:textAlignment w:val="auto"/>
        <w:rPr>
          <w:sz w:val="20"/>
        </w:rPr>
      </w:pPr>
      <w:r w:rsidRPr="00AB1DA0">
        <w:rPr>
          <w:sz w:val="20"/>
        </w:rPr>
        <w:t>1.3 verfügen über vertieftes, strukturiertes und anschlussfähiges Fachwissen in den Teilgebieten</w:t>
      </w:r>
    </w:p>
    <w:p w:rsidR="00AB1DA0" w:rsidRPr="00AB1DA0" w:rsidRDefault="00896545" w:rsidP="00AB1DA0">
      <w:pPr>
        <w:overflowPunct/>
        <w:textAlignment w:val="auto"/>
        <w:rPr>
          <w:sz w:val="20"/>
        </w:rPr>
      </w:pPr>
      <w:r w:rsidRPr="00AB1DA0">
        <w:rPr>
          <w:sz w:val="20"/>
        </w:rPr>
        <w:t>der Sprachwissenschaft, der Literaturwissenschaft und der Landes- und Kulturwissenschaften</w:t>
      </w:r>
    </w:p>
    <w:p w:rsidR="00AB1DA0" w:rsidRPr="00AB1DA0" w:rsidRDefault="00896545" w:rsidP="00AB1DA0">
      <w:pPr>
        <w:overflowPunct/>
        <w:textAlignment w:val="auto"/>
        <w:rPr>
          <w:sz w:val="20"/>
        </w:rPr>
      </w:pPr>
      <w:r w:rsidRPr="00AB1DA0">
        <w:rPr>
          <w:sz w:val="20"/>
        </w:rPr>
        <w:t>und können grundlegende Theorien sowie aktuelle Fragestellungen reflektieren,</w:t>
      </w:r>
    </w:p>
    <w:p w:rsidR="00AB1DA0" w:rsidRPr="00AB1DA0" w:rsidRDefault="00896545" w:rsidP="00AB1DA0">
      <w:pPr>
        <w:overflowPunct/>
        <w:textAlignment w:val="auto"/>
        <w:rPr>
          <w:sz w:val="20"/>
        </w:rPr>
      </w:pPr>
      <w:r w:rsidRPr="00AB1DA0">
        <w:rPr>
          <w:sz w:val="20"/>
        </w:rPr>
        <w:t>1.4 verfügen über Erkenntnis-, Arbeits- und Beschreibungsmethoden des Faches,</w:t>
      </w:r>
    </w:p>
    <w:p w:rsidR="00AB1DA0" w:rsidRPr="00AB1DA0" w:rsidRDefault="00896545" w:rsidP="00AB1DA0">
      <w:pPr>
        <w:overflowPunct/>
        <w:textAlignment w:val="auto"/>
        <w:rPr>
          <w:sz w:val="20"/>
        </w:rPr>
      </w:pPr>
      <w:r w:rsidRPr="00AB1DA0">
        <w:rPr>
          <w:sz w:val="20"/>
        </w:rPr>
        <w:t>1.5 kennen und verwenden fachspezifische Arbeitsmittel,</w:t>
      </w:r>
    </w:p>
    <w:p w:rsidR="00AB1DA0" w:rsidRPr="00AB1DA0" w:rsidRDefault="00896545" w:rsidP="00AB1DA0">
      <w:pPr>
        <w:overflowPunct/>
        <w:textAlignment w:val="auto"/>
        <w:rPr>
          <w:sz w:val="20"/>
        </w:rPr>
      </w:pPr>
      <w:r w:rsidRPr="00AB1DA0">
        <w:rPr>
          <w:sz w:val="20"/>
        </w:rPr>
        <w:t>1.6 können fachliche Fragestellungen und Forschungsergebnisse reflektiert auch in der Fremdsprache</w:t>
      </w:r>
    </w:p>
    <w:p w:rsidR="00AB1DA0" w:rsidRPr="00AB1DA0" w:rsidRDefault="00896545" w:rsidP="00AB1DA0">
      <w:pPr>
        <w:overflowPunct/>
        <w:textAlignment w:val="auto"/>
        <w:rPr>
          <w:sz w:val="20"/>
        </w:rPr>
      </w:pPr>
      <w:r w:rsidRPr="00AB1DA0">
        <w:rPr>
          <w:sz w:val="20"/>
        </w:rPr>
        <w:t>darstellen,</w:t>
      </w:r>
    </w:p>
    <w:p w:rsidR="00AB1DA0" w:rsidRPr="00AB1DA0" w:rsidRDefault="00896545" w:rsidP="00AB1DA0">
      <w:pPr>
        <w:overflowPunct/>
        <w:textAlignment w:val="auto"/>
        <w:rPr>
          <w:sz w:val="20"/>
        </w:rPr>
      </w:pPr>
      <w:r w:rsidRPr="00AB1DA0">
        <w:rPr>
          <w:sz w:val="20"/>
        </w:rPr>
        <w:t>1.7 können interdisziplinäre Aspekte erkennen und beschreiben,</w:t>
      </w:r>
    </w:p>
    <w:p w:rsidR="00AB1DA0" w:rsidRPr="00AB1DA0" w:rsidRDefault="00896545" w:rsidP="00AB1DA0">
      <w:pPr>
        <w:overflowPunct/>
        <w:textAlignment w:val="auto"/>
        <w:rPr>
          <w:sz w:val="20"/>
        </w:rPr>
      </w:pPr>
      <w:r w:rsidRPr="00AB1DA0">
        <w:rPr>
          <w:sz w:val="20"/>
        </w:rPr>
        <w:t>1.8 verfügen über ausbaufähiges Orientierungswissen und Problembewusstsein im Hinblick auf fremdsprachliche und interkulturelle Lehr- und Lernprozesse,</w:t>
      </w:r>
    </w:p>
    <w:p w:rsidR="00AB1DA0" w:rsidRPr="00AB1DA0" w:rsidRDefault="00896545" w:rsidP="00AB1DA0">
      <w:pPr>
        <w:overflowPunct/>
        <w:textAlignment w:val="auto"/>
        <w:rPr>
          <w:sz w:val="20"/>
        </w:rPr>
      </w:pPr>
      <w:r w:rsidRPr="00AB1DA0">
        <w:rPr>
          <w:sz w:val="20"/>
        </w:rPr>
        <w:t>1.9 können fachwissenschaftliche Inhalte funktional mit fachdidaktischen Fragestellungen verbinden und für die Schulpraxis nutzbar machen.</w:t>
      </w:r>
    </w:p>
    <w:p w:rsidR="00AB1DA0" w:rsidRPr="00AB1DA0" w:rsidRDefault="00896545" w:rsidP="00AB1DA0">
      <w:pPr>
        <w:overflowPunct/>
        <w:textAlignment w:val="auto"/>
        <w:rPr>
          <w:b/>
          <w:bCs/>
          <w:sz w:val="20"/>
        </w:rPr>
      </w:pPr>
      <w:r w:rsidRPr="00AB1DA0">
        <w:rPr>
          <w:sz w:val="20"/>
        </w:rPr>
        <w:t xml:space="preserve">2 </w:t>
      </w:r>
      <w:r w:rsidRPr="00AB1DA0">
        <w:rPr>
          <w:b/>
          <w:bCs/>
          <w:sz w:val="20"/>
        </w:rPr>
        <w:t>Verbindliche Studieninhalte</w:t>
      </w:r>
    </w:p>
    <w:p w:rsidR="00AB1DA0" w:rsidRPr="00AB1DA0" w:rsidRDefault="00896545" w:rsidP="00AB1DA0">
      <w:pPr>
        <w:overflowPunct/>
        <w:textAlignment w:val="auto"/>
        <w:rPr>
          <w:sz w:val="20"/>
        </w:rPr>
      </w:pPr>
      <w:r w:rsidRPr="00AB1DA0">
        <w:rPr>
          <w:sz w:val="20"/>
        </w:rPr>
        <w:t>2.1 S p r a c h p r a x i s</w:t>
      </w:r>
    </w:p>
    <w:p w:rsidR="00AB1DA0" w:rsidRPr="00AB1DA0" w:rsidRDefault="00896545" w:rsidP="00AB1DA0">
      <w:pPr>
        <w:overflowPunct/>
        <w:textAlignment w:val="auto"/>
        <w:rPr>
          <w:i/>
          <w:iCs/>
          <w:sz w:val="20"/>
        </w:rPr>
      </w:pPr>
      <w:r w:rsidRPr="00AB1DA0">
        <w:rPr>
          <w:sz w:val="20"/>
        </w:rPr>
        <w:t xml:space="preserve">2.1.1 </w:t>
      </w:r>
      <w:r w:rsidRPr="00AB1DA0">
        <w:rPr>
          <w:i/>
          <w:iCs/>
          <w:sz w:val="20"/>
        </w:rPr>
        <w:t>Sprachliche Fertigkeiten</w:t>
      </w:r>
    </w:p>
    <w:p w:rsidR="00AB1DA0" w:rsidRPr="00AB1DA0" w:rsidRDefault="00896545" w:rsidP="00AB1DA0">
      <w:pPr>
        <w:overflowPunct/>
        <w:textAlignment w:val="auto"/>
        <w:rPr>
          <w:sz w:val="20"/>
        </w:rPr>
      </w:pPr>
      <w:r w:rsidRPr="00AB1DA0">
        <w:rPr>
          <w:sz w:val="20"/>
        </w:rPr>
        <w:t>2.1.1.1 Hör- und Hör-/Sehverstehen, Leseverstehen und Lesestrategien</w:t>
      </w:r>
    </w:p>
    <w:p w:rsidR="00AB1DA0" w:rsidRPr="00AB1DA0" w:rsidRDefault="00896545" w:rsidP="00AB1DA0">
      <w:pPr>
        <w:overflowPunct/>
        <w:textAlignment w:val="auto"/>
        <w:rPr>
          <w:sz w:val="20"/>
        </w:rPr>
      </w:pPr>
      <w:r w:rsidRPr="00AB1DA0">
        <w:rPr>
          <w:sz w:val="20"/>
        </w:rPr>
        <w:t>2.1.1.2 adressatengerechtes monologisches und dialogisches Sprechen in verschiedenen Kommunikationssituationen</w:t>
      </w:r>
    </w:p>
    <w:p w:rsidR="00AB1DA0" w:rsidRPr="00AB1DA0" w:rsidRDefault="00896545" w:rsidP="00AB1DA0">
      <w:pPr>
        <w:overflowPunct/>
        <w:textAlignment w:val="auto"/>
        <w:rPr>
          <w:sz w:val="20"/>
        </w:rPr>
      </w:pPr>
      <w:r w:rsidRPr="00AB1DA0">
        <w:rPr>
          <w:sz w:val="20"/>
        </w:rPr>
        <w:t>2.1.1.3 textsorten- und adressatenbezogenes Schreiben in verschiedenen Kontexten</w:t>
      </w:r>
    </w:p>
    <w:p w:rsidR="00AB1DA0" w:rsidRPr="00AB1DA0" w:rsidRDefault="00896545" w:rsidP="00AB1DA0">
      <w:pPr>
        <w:overflowPunct/>
        <w:textAlignment w:val="auto"/>
        <w:rPr>
          <w:sz w:val="20"/>
        </w:rPr>
      </w:pPr>
      <w:r w:rsidRPr="00AB1DA0">
        <w:rPr>
          <w:sz w:val="20"/>
        </w:rPr>
        <w:t>2.1.1.4 schriftliche und mündliche Formen der Sprachmittlung, auch zur Gewinnung von kontrastiven Einsichten in Wortschatz, Strukturen und Stil</w:t>
      </w:r>
    </w:p>
    <w:p w:rsidR="00AB1DA0" w:rsidRPr="00AB1DA0" w:rsidRDefault="00896545" w:rsidP="00AB1DA0">
      <w:pPr>
        <w:overflowPunct/>
        <w:textAlignment w:val="auto"/>
        <w:rPr>
          <w:i/>
          <w:iCs/>
          <w:sz w:val="20"/>
        </w:rPr>
      </w:pPr>
      <w:r w:rsidRPr="00AB1DA0">
        <w:rPr>
          <w:sz w:val="20"/>
        </w:rPr>
        <w:t xml:space="preserve">2.1.2 </w:t>
      </w:r>
      <w:r w:rsidRPr="00AB1DA0">
        <w:rPr>
          <w:i/>
          <w:iCs/>
          <w:sz w:val="20"/>
        </w:rPr>
        <w:t>Sprachliche Mittel</w:t>
      </w:r>
    </w:p>
    <w:p w:rsidR="00AB1DA0" w:rsidRPr="00AB1DA0" w:rsidRDefault="00896545" w:rsidP="00AB1DA0">
      <w:pPr>
        <w:overflowPunct/>
        <w:textAlignment w:val="auto"/>
        <w:rPr>
          <w:sz w:val="20"/>
        </w:rPr>
      </w:pPr>
      <w:r w:rsidRPr="00AB1DA0">
        <w:rPr>
          <w:sz w:val="20"/>
        </w:rPr>
        <w:t>2.1.2.1 Lautbildung und Intonation</w:t>
      </w:r>
    </w:p>
    <w:p w:rsidR="00AB1DA0" w:rsidRPr="00AB1DA0" w:rsidRDefault="00896545" w:rsidP="00AB1DA0">
      <w:pPr>
        <w:overflowPunct/>
        <w:textAlignment w:val="auto"/>
        <w:rPr>
          <w:sz w:val="20"/>
        </w:rPr>
      </w:pPr>
      <w:r w:rsidRPr="00AB1DA0">
        <w:rPr>
          <w:sz w:val="20"/>
        </w:rPr>
        <w:t>2.1.2.2 differenzierter Wortschatz einschließlich Idiomatik</w:t>
      </w:r>
    </w:p>
    <w:p w:rsidR="00AB1DA0" w:rsidRPr="00AB1DA0" w:rsidRDefault="00896545" w:rsidP="00AB1DA0">
      <w:pPr>
        <w:overflowPunct/>
        <w:textAlignment w:val="auto"/>
        <w:rPr>
          <w:sz w:val="20"/>
        </w:rPr>
      </w:pPr>
      <w:r w:rsidRPr="00AB1DA0">
        <w:rPr>
          <w:sz w:val="20"/>
        </w:rPr>
        <w:t>2.1.2.3 Grammatik: Morphologie und Syntax</w:t>
      </w:r>
    </w:p>
    <w:p w:rsidR="00AB1DA0" w:rsidRPr="00AB1DA0" w:rsidRDefault="00896545" w:rsidP="00AB1DA0">
      <w:pPr>
        <w:overflowPunct/>
        <w:textAlignment w:val="auto"/>
        <w:rPr>
          <w:i/>
          <w:iCs/>
          <w:sz w:val="20"/>
        </w:rPr>
      </w:pPr>
      <w:r w:rsidRPr="00AB1DA0">
        <w:rPr>
          <w:sz w:val="20"/>
        </w:rPr>
        <w:t xml:space="preserve">2.1.3 </w:t>
      </w:r>
      <w:r w:rsidRPr="00AB1DA0">
        <w:rPr>
          <w:i/>
          <w:iCs/>
          <w:sz w:val="20"/>
        </w:rPr>
        <w:t xml:space="preserve">Nutzung verschiedener Medien, auch zum eigenverantwortlichen Spracherwerb </w:t>
      </w:r>
      <w:r w:rsidRPr="00AB1DA0">
        <w:rPr>
          <w:sz w:val="20"/>
        </w:rPr>
        <w:t>Sprachpraxis wird insbesondere auch dadurch</w:t>
      </w:r>
      <w:r w:rsidRPr="00AB1DA0">
        <w:rPr>
          <w:i/>
          <w:iCs/>
          <w:sz w:val="20"/>
        </w:rPr>
        <w:t xml:space="preserve"> </w:t>
      </w:r>
      <w:r w:rsidRPr="00AB1DA0">
        <w:rPr>
          <w:sz w:val="20"/>
        </w:rPr>
        <w:t>erworben, dass Veranstaltungen in der Zielsprache</w:t>
      </w:r>
      <w:r w:rsidRPr="00AB1DA0">
        <w:rPr>
          <w:i/>
          <w:iCs/>
          <w:sz w:val="20"/>
        </w:rPr>
        <w:t xml:space="preserve"> </w:t>
      </w:r>
      <w:r w:rsidRPr="00AB1DA0">
        <w:rPr>
          <w:sz w:val="20"/>
        </w:rPr>
        <w:t>stattfinden.</w:t>
      </w:r>
    </w:p>
    <w:p w:rsidR="00AB1DA0" w:rsidRPr="00AB1DA0" w:rsidRDefault="00896545" w:rsidP="00AB1DA0">
      <w:pPr>
        <w:overflowPunct/>
        <w:textAlignment w:val="auto"/>
        <w:rPr>
          <w:sz w:val="20"/>
          <w:lang w:val="en-GB"/>
        </w:rPr>
      </w:pPr>
      <w:r w:rsidRPr="00AB1DA0">
        <w:rPr>
          <w:sz w:val="20"/>
          <w:lang w:val="en-GB"/>
        </w:rPr>
        <w:t>2.2 S p r a c h w i s s e n s c h a f t</w:t>
      </w:r>
    </w:p>
    <w:p w:rsidR="00AB1DA0" w:rsidRPr="00AB1DA0" w:rsidRDefault="00896545" w:rsidP="00AB1DA0">
      <w:pPr>
        <w:overflowPunct/>
        <w:textAlignment w:val="auto"/>
        <w:rPr>
          <w:sz w:val="20"/>
        </w:rPr>
      </w:pPr>
      <w:r w:rsidRPr="00AB1DA0">
        <w:rPr>
          <w:sz w:val="20"/>
        </w:rPr>
        <w:t>2.2.1 grundlegende Theorien und Methoden</w:t>
      </w:r>
    </w:p>
    <w:p w:rsidR="00AB1DA0" w:rsidRPr="00AB1DA0" w:rsidRDefault="00896545" w:rsidP="00AB1DA0">
      <w:pPr>
        <w:overflowPunct/>
        <w:textAlignment w:val="auto"/>
        <w:rPr>
          <w:sz w:val="20"/>
        </w:rPr>
      </w:pPr>
      <w:r w:rsidRPr="00AB1DA0">
        <w:rPr>
          <w:sz w:val="20"/>
        </w:rPr>
        <w:t>2.2.2 grundlegende Bereiche der Sprachwissenschaft: Phonetik und Phonologie, Orthographie, Morphologie,</w:t>
      </w:r>
    </w:p>
    <w:p w:rsidR="00AB1DA0" w:rsidRPr="00AB1DA0" w:rsidRDefault="00896545" w:rsidP="00AB1DA0">
      <w:pPr>
        <w:overflowPunct/>
        <w:textAlignment w:val="auto"/>
        <w:rPr>
          <w:sz w:val="20"/>
        </w:rPr>
      </w:pPr>
      <w:r w:rsidRPr="00AB1DA0">
        <w:rPr>
          <w:sz w:val="20"/>
        </w:rPr>
        <w:t>Syntax, Semantik, Lexik und Pragmatik</w:t>
      </w:r>
    </w:p>
    <w:p w:rsidR="00AB1DA0" w:rsidRPr="00AB1DA0" w:rsidRDefault="00896545" w:rsidP="00AB1DA0">
      <w:pPr>
        <w:overflowPunct/>
        <w:textAlignment w:val="auto"/>
        <w:rPr>
          <w:sz w:val="20"/>
        </w:rPr>
      </w:pPr>
      <w:r w:rsidRPr="00AB1DA0">
        <w:rPr>
          <w:sz w:val="20"/>
        </w:rPr>
        <w:t>2.2.3 angewandte Sprachwissenschaft: einzelne Schwerpunkte wie Psycholinguistik (insbesondere Spracherwerb) und Neurolinguistik</w:t>
      </w:r>
    </w:p>
    <w:p w:rsidR="00AB1DA0" w:rsidRPr="00AB1DA0" w:rsidRDefault="00896545" w:rsidP="00AB1DA0">
      <w:pPr>
        <w:overflowPunct/>
        <w:textAlignment w:val="auto"/>
        <w:rPr>
          <w:sz w:val="20"/>
        </w:rPr>
      </w:pPr>
      <w:r w:rsidRPr="00AB1DA0">
        <w:rPr>
          <w:sz w:val="20"/>
        </w:rPr>
        <w:t>2.2.4 grundlegende Aspekte der Gesamtromania aus synchronischer und diachronischer Sicht</w:t>
      </w:r>
    </w:p>
    <w:p w:rsidR="00AB1DA0" w:rsidRPr="00AB1DA0" w:rsidRDefault="00896545" w:rsidP="00AB1DA0">
      <w:pPr>
        <w:overflowPunct/>
        <w:textAlignment w:val="auto"/>
        <w:rPr>
          <w:sz w:val="20"/>
        </w:rPr>
      </w:pPr>
      <w:r w:rsidRPr="00AB1DA0">
        <w:rPr>
          <w:sz w:val="20"/>
        </w:rPr>
        <w:t>2.2.5 Varietäten- und Soziolinguistik: Fragen der präskriptiven Norm; gesprochenes und geschriebenes</w:t>
      </w:r>
    </w:p>
    <w:p w:rsidR="00AB1DA0" w:rsidRPr="00AB1DA0" w:rsidRDefault="00896545" w:rsidP="00AB1DA0">
      <w:pPr>
        <w:overflowPunct/>
        <w:textAlignment w:val="auto"/>
        <w:rPr>
          <w:sz w:val="20"/>
        </w:rPr>
      </w:pPr>
      <w:r w:rsidRPr="00AB1DA0">
        <w:rPr>
          <w:sz w:val="20"/>
        </w:rPr>
        <w:t>Spanisch, diaphasische und diastratische Varietäten, diatopische Varietäten (peninsulares und amerikanisches Spanisch); Fach- und Gruppensprachen (HF)</w:t>
      </w:r>
    </w:p>
    <w:p w:rsidR="00AB1DA0" w:rsidRPr="00AB1DA0" w:rsidRDefault="00896545" w:rsidP="00AB1DA0">
      <w:pPr>
        <w:overflowPunct/>
        <w:textAlignment w:val="auto"/>
        <w:rPr>
          <w:sz w:val="20"/>
        </w:rPr>
      </w:pPr>
      <w:r w:rsidRPr="00AB1DA0">
        <w:rPr>
          <w:sz w:val="20"/>
        </w:rPr>
        <w:t>2.2.6 Aspekte der Mehrsprachigkeit und des Sprachkontakts, Minderheitensprache und Sprach(en)-</w:t>
      </w:r>
    </w:p>
    <w:p w:rsidR="00AB1DA0" w:rsidRPr="00AB1DA0" w:rsidRDefault="00896545" w:rsidP="00AB1DA0">
      <w:pPr>
        <w:overflowPunct/>
        <w:textAlignment w:val="auto"/>
        <w:rPr>
          <w:sz w:val="20"/>
        </w:rPr>
      </w:pPr>
      <w:r w:rsidRPr="00AB1DA0">
        <w:rPr>
          <w:sz w:val="20"/>
        </w:rPr>
        <w:t>politik (HF)</w:t>
      </w:r>
    </w:p>
    <w:p w:rsidR="00AB1DA0" w:rsidRPr="00AB1DA0" w:rsidRDefault="00896545" w:rsidP="00AB1DA0">
      <w:pPr>
        <w:overflowPunct/>
        <w:textAlignment w:val="auto"/>
        <w:rPr>
          <w:sz w:val="20"/>
        </w:rPr>
      </w:pPr>
      <w:r w:rsidRPr="00AB1DA0">
        <w:rPr>
          <w:sz w:val="20"/>
        </w:rPr>
        <w:t>2.2.7 Überblick über die zentralen Prozesse der internen und die wichtigen Phasen der externen spanischen</w:t>
      </w:r>
    </w:p>
    <w:p w:rsidR="00AB1DA0" w:rsidRPr="00AB1DA0" w:rsidRDefault="00896545" w:rsidP="00AB1DA0">
      <w:pPr>
        <w:overflowPunct/>
        <w:textAlignment w:val="auto"/>
        <w:rPr>
          <w:sz w:val="20"/>
        </w:rPr>
      </w:pPr>
      <w:r w:rsidRPr="00AB1DA0">
        <w:rPr>
          <w:sz w:val="20"/>
        </w:rPr>
        <w:t>Sprachgeschichte vom Lateinischen bis in die Gegenwart sowie über Prinzipien des Sprachwandels (HF)</w:t>
      </w:r>
    </w:p>
    <w:p w:rsidR="00AB1DA0" w:rsidRPr="00AB1DA0" w:rsidRDefault="00896545" w:rsidP="00AB1DA0">
      <w:pPr>
        <w:overflowPunct/>
        <w:textAlignment w:val="auto"/>
        <w:rPr>
          <w:sz w:val="20"/>
        </w:rPr>
      </w:pPr>
      <w:r w:rsidRPr="00AB1DA0">
        <w:rPr>
          <w:sz w:val="20"/>
        </w:rPr>
        <w:t>2.2.8 Kontrastieren des Spanischen mit mindestens einer weiteren romanischen Sprache, dem Lateinischen</w:t>
      </w:r>
    </w:p>
    <w:p w:rsidR="00AB1DA0" w:rsidRPr="00AB1DA0" w:rsidRDefault="00896545" w:rsidP="00AB1DA0">
      <w:pPr>
        <w:overflowPunct/>
        <w:textAlignment w:val="auto"/>
        <w:rPr>
          <w:sz w:val="20"/>
        </w:rPr>
      </w:pPr>
      <w:r w:rsidRPr="00AB1DA0">
        <w:rPr>
          <w:sz w:val="20"/>
        </w:rPr>
        <w:t>und dem Deutschen unter synchronischem und gegebenenfalls diachronischem Aspekt (HF)</w:t>
      </w:r>
    </w:p>
    <w:p w:rsidR="00AB1DA0" w:rsidRPr="00AB1DA0" w:rsidRDefault="00896545" w:rsidP="00AB1DA0">
      <w:pPr>
        <w:overflowPunct/>
        <w:textAlignment w:val="auto"/>
        <w:rPr>
          <w:sz w:val="20"/>
          <w:lang w:val="en-US"/>
        </w:rPr>
      </w:pPr>
      <w:r w:rsidRPr="00AB1DA0">
        <w:rPr>
          <w:sz w:val="20"/>
          <w:lang w:val="en-US"/>
        </w:rPr>
        <w:t>2.3 L i t e r a t u r w i s s e n s c h a f t</w:t>
      </w:r>
    </w:p>
    <w:p w:rsidR="00AB1DA0" w:rsidRPr="00AB1DA0" w:rsidRDefault="00896545" w:rsidP="00AB1DA0">
      <w:pPr>
        <w:overflowPunct/>
        <w:textAlignment w:val="auto"/>
        <w:rPr>
          <w:sz w:val="20"/>
        </w:rPr>
      </w:pPr>
      <w:r w:rsidRPr="00AB1DA0">
        <w:rPr>
          <w:sz w:val="20"/>
        </w:rPr>
        <w:t>2.3.1 grundlegende Theorien und Methoden</w:t>
      </w:r>
    </w:p>
    <w:p w:rsidR="00AB1DA0" w:rsidRPr="00AB1DA0" w:rsidRDefault="00896545" w:rsidP="00AB1DA0">
      <w:pPr>
        <w:overflowPunct/>
        <w:textAlignment w:val="auto"/>
        <w:rPr>
          <w:sz w:val="20"/>
        </w:rPr>
      </w:pPr>
      <w:r w:rsidRPr="00AB1DA0">
        <w:rPr>
          <w:sz w:val="20"/>
        </w:rPr>
        <w:t>2.3.2 theoriegeleitete Verfahren der Textanalyse und Textinterpretation</w:t>
      </w:r>
    </w:p>
    <w:p w:rsidR="00AB1DA0" w:rsidRPr="00AB1DA0" w:rsidRDefault="00896545" w:rsidP="00AB1DA0">
      <w:pPr>
        <w:overflowPunct/>
        <w:textAlignment w:val="auto"/>
        <w:rPr>
          <w:sz w:val="20"/>
        </w:rPr>
      </w:pPr>
      <w:r w:rsidRPr="00AB1DA0">
        <w:rPr>
          <w:sz w:val="20"/>
        </w:rPr>
        <w:t>2.3.4 Überblick über die Entwicklung der spanischen und hispanoamerikanischen Literatur vom Mittelalter</w:t>
      </w:r>
    </w:p>
    <w:p w:rsidR="00AB1DA0" w:rsidRPr="00AB1DA0" w:rsidRDefault="00896545" w:rsidP="00AB1DA0">
      <w:pPr>
        <w:overflowPunct/>
        <w:textAlignment w:val="auto"/>
        <w:rPr>
          <w:sz w:val="20"/>
        </w:rPr>
      </w:pPr>
      <w:r w:rsidRPr="00AB1DA0">
        <w:rPr>
          <w:sz w:val="20"/>
        </w:rPr>
        <w:lastRenderedPageBreak/>
        <w:t>bis zur Gegenwart, auch auf Grund eigener Lektüre ausgewählter Werke in der Originalsprache</w:t>
      </w:r>
    </w:p>
    <w:p w:rsidR="00AB1DA0" w:rsidRPr="00AB1DA0" w:rsidRDefault="00896545" w:rsidP="00AB1DA0">
      <w:pPr>
        <w:overflowPunct/>
        <w:textAlignment w:val="auto"/>
        <w:rPr>
          <w:sz w:val="20"/>
        </w:rPr>
      </w:pPr>
      <w:r w:rsidRPr="00AB1DA0">
        <w:rPr>
          <w:sz w:val="20"/>
        </w:rPr>
        <w:t>2.3.5 historische und ästhetische Kontextualisierung von Autoren, Texten und medialen Ausdrucksformen</w:t>
      </w:r>
    </w:p>
    <w:p w:rsidR="00AB1DA0" w:rsidRPr="00AB1DA0" w:rsidRDefault="00896545" w:rsidP="00AB1DA0">
      <w:pPr>
        <w:overflowPunct/>
        <w:textAlignment w:val="auto"/>
        <w:rPr>
          <w:sz w:val="20"/>
        </w:rPr>
      </w:pPr>
      <w:r w:rsidRPr="00AB1DA0">
        <w:rPr>
          <w:sz w:val="20"/>
        </w:rPr>
        <w:t>2.3.6 themenbezogene Analyse und Interpretation von Literatur unter Berücksichtigung verschiedener medialer Ausdrucksformen (HF)</w:t>
      </w:r>
    </w:p>
    <w:p w:rsidR="00AB1DA0" w:rsidRPr="00AB1DA0" w:rsidRDefault="00896545" w:rsidP="00AB1DA0">
      <w:pPr>
        <w:overflowPunct/>
        <w:textAlignment w:val="auto"/>
        <w:rPr>
          <w:sz w:val="20"/>
        </w:rPr>
      </w:pPr>
      <w:r w:rsidRPr="00AB1DA0">
        <w:rPr>
          <w:sz w:val="20"/>
        </w:rPr>
        <w:t>2.3.7 vertiefte Kenntnisse einzelner Epochen, Gattungen und Autoren von der Renaissance bis zur Gegenwart, unter besonderer Berücksichtigung zeitgenössischer Literatur (HF zwei Gebiete; BF ein Gebiet aus dem 20.–21. Jahrhundert)</w:t>
      </w:r>
    </w:p>
    <w:p w:rsidR="00AB1DA0" w:rsidRPr="00AB1DA0" w:rsidRDefault="00896545" w:rsidP="00AB1DA0">
      <w:pPr>
        <w:overflowPunct/>
        <w:textAlignment w:val="auto"/>
        <w:rPr>
          <w:sz w:val="20"/>
        </w:rPr>
      </w:pPr>
      <w:r w:rsidRPr="00AB1DA0">
        <w:rPr>
          <w:sz w:val="20"/>
        </w:rPr>
        <w:t>2.3.8 Reflexion von Literatur als Element des kulturellen Gedächtnisses, transkultureller Diskurse sowie der Herausbildung von Identitäten (vertieft im HF)</w:t>
      </w:r>
    </w:p>
    <w:p w:rsidR="00AB1DA0" w:rsidRPr="00AB1DA0" w:rsidRDefault="00896545" w:rsidP="00AB1DA0">
      <w:pPr>
        <w:overflowPunct/>
        <w:textAlignment w:val="auto"/>
        <w:rPr>
          <w:sz w:val="20"/>
          <w:lang w:val="en-US"/>
        </w:rPr>
      </w:pPr>
      <w:r w:rsidRPr="00AB1DA0">
        <w:rPr>
          <w:sz w:val="20"/>
          <w:lang w:val="en-US"/>
        </w:rPr>
        <w:t>2.4 L a n d e s - u n d K u l t u r w i s s e n s c h a f t e n</w:t>
      </w:r>
    </w:p>
    <w:p w:rsidR="00AB1DA0" w:rsidRPr="00AB1DA0" w:rsidRDefault="00896545" w:rsidP="00AB1DA0">
      <w:pPr>
        <w:overflowPunct/>
        <w:textAlignment w:val="auto"/>
        <w:rPr>
          <w:sz w:val="20"/>
        </w:rPr>
      </w:pPr>
      <w:r w:rsidRPr="00AB1DA0">
        <w:rPr>
          <w:sz w:val="20"/>
        </w:rPr>
        <w:t>2.4.1 fundierte landeskundliche und kulturelle Kenntnisse Spaniens und Hispanoamerikas</w:t>
      </w:r>
    </w:p>
    <w:p w:rsidR="00AB1DA0" w:rsidRPr="00AB1DA0" w:rsidRDefault="00896545" w:rsidP="00AB1DA0">
      <w:pPr>
        <w:overflowPunct/>
        <w:textAlignment w:val="auto"/>
        <w:rPr>
          <w:sz w:val="20"/>
        </w:rPr>
      </w:pPr>
      <w:r w:rsidRPr="00AB1DA0">
        <w:rPr>
          <w:sz w:val="20"/>
        </w:rPr>
        <w:t>2.4.2 Reflexion (trans-) kultureller Prozesse und Entwicklungen in Politik, Wirtschaft und Gesellschaft unter Berücksichtigung des europäischen Kontextes und der Globalisierung</w:t>
      </w:r>
    </w:p>
    <w:p w:rsidR="00AB1DA0" w:rsidRPr="00AB1DA0" w:rsidRDefault="00896545" w:rsidP="00AB1DA0">
      <w:pPr>
        <w:overflowPunct/>
        <w:textAlignment w:val="auto"/>
        <w:rPr>
          <w:sz w:val="20"/>
        </w:rPr>
      </w:pPr>
      <w:r w:rsidRPr="00AB1DA0">
        <w:rPr>
          <w:sz w:val="20"/>
        </w:rPr>
        <w:t>2.4.3 Analyse ausgewählter Phänomene des Kulturraumes auch aus historischer Perspektive</w:t>
      </w:r>
    </w:p>
    <w:p w:rsidR="00AB1DA0" w:rsidRPr="00AB1DA0" w:rsidRDefault="00896545" w:rsidP="00AB1DA0">
      <w:pPr>
        <w:overflowPunct/>
        <w:textAlignment w:val="auto"/>
        <w:rPr>
          <w:sz w:val="20"/>
        </w:rPr>
      </w:pPr>
      <w:r w:rsidRPr="00AB1DA0">
        <w:rPr>
          <w:sz w:val="20"/>
        </w:rPr>
        <w:t>2.4.4 Analyse der spanischen und hispanoamerikanischen Medienkultur und ihrer verschiedenen Ausdrucksformen</w:t>
      </w:r>
    </w:p>
    <w:p w:rsidR="00AB1DA0" w:rsidRPr="00AB1DA0" w:rsidRDefault="00896545" w:rsidP="00AB1DA0">
      <w:pPr>
        <w:overflowPunct/>
        <w:textAlignment w:val="auto"/>
        <w:rPr>
          <w:sz w:val="20"/>
        </w:rPr>
      </w:pPr>
      <w:r w:rsidRPr="00AB1DA0">
        <w:rPr>
          <w:sz w:val="20"/>
        </w:rPr>
        <w:t>2.4.5 funktional ausgewählte Theorien und Methoden der Kulturwissenschaften (HF)</w:t>
      </w:r>
    </w:p>
    <w:p w:rsidR="00AB1DA0" w:rsidRPr="00AB1DA0" w:rsidRDefault="00896545" w:rsidP="00AB1DA0">
      <w:pPr>
        <w:overflowPunct/>
        <w:textAlignment w:val="auto"/>
        <w:rPr>
          <w:sz w:val="20"/>
        </w:rPr>
      </w:pPr>
      <w:r w:rsidRPr="00AB1DA0">
        <w:rPr>
          <w:sz w:val="20"/>
        </w:rPr>
        <w:t>2.4.6 Gegenstände und Methoden des kulturwissenschaftlichen Ländervergleichs (HF)</w:t>
      </w:r>
    </w:p>
    <w:p w:rsidR="00AB1DA0" w:rsidRPr="00AB1DA0" w:rsidRDefault="00896545" w:rsidP="00AB1DA0">
      <w:pPr>
        <w:overflowPunct/>
        <w:textAlignment w:val="auto"/>
        <w:rPr>
          <w:b/>
          <w:bCs/>
          <w:sz w:val="20"/>
        </w:rPr>
      </w:pPr>
      <w:r w:rsidRPr="00AB1DA0">
        <w:rPr>
          <w:sz w:val="20"/>
        </w:rPr>
        <w:t xml:space="preserve">3 </w:t>
      </w:r>
      <w:r w:rsidRPr="00AB1DA0">
        <w:rPr>
          <w:b/>
          <w:bCs/>
          <w:sz w:val="20"/>
        </w:rPr>
        <w:t>Durchführung der Prüfung</w:t>
      </w:r>
    </w:p>
    <w:p w:rsidR="00AB1DA0" w:rsidRPr="00AB1DA0" w:rsidRDefault="00896545" w:rsidP="00AB1DA0">
      <w:pPr>
        <w:overflowPunct/>
        <w:textAlignment w:val="auto"/>
        <w:rPr>
          <w:sz w:val="20"/>
        </w:rPr>
      </w:pPr>
      <w:r w:rsidRPr="00AB1DA0">
        <w:rPr>
          <w:sz w:val="20"/>
        </w:rPr>
        <w:t>Es findet eine abschließende fachwissenschaftliche mündliche Prüfung statt. Zwei Drittel der Prüfungszeit entfallen auf die Prüfung von Schwerpunkten (vertieftes Wissen und Können wird erwartet), ein Drittel entfällt auf die Prüfung von Grundlagen- und Überblickswissen gemäß Kompetenzen und Studieninhalten (fundiertes Wissen und Können wird erwartet). Die Fachdidaktik ist nicht Gegenstand dieser Prüfung. Der Vorsitzende ist für die Einhaltung der formalen und inhaltlichen Rahmenvorgaben verantwortlich.</w:t>
      </w:r>
    </w:p>
    <w:p w:rsidR="00AB1DA0" w:rsidRPr="00AB1DA0" w:rsidRDefault="00896545" w:rsidP="00AB1DA0">
      <w:pPr>
        <w:overflowPunct/>
        <w:textAlignment w:val="auto"/>
        <w:rPr>
          <w:sz w:val="20"/>
        </w:rPr>
      </w:pPr>
      <w:r w:rsidRPr="00AB1DA0">
        <w:rPr>
          <w:sz w:val="20"/>
        </w:rPr>
        <w:t xml:space="preserve">Die Prüfung erfolgt in </w:t>
      </w:r>
      <w:r w:rsidRPr="00AB1DA0">
        <w:rPr>
          <w:i/>
          <w:iCs/>
          <w:sz w:val="20"/>
        </w:rPr>
        <w:t xml:space="preserve">spanischer </w:t>
      </w:r>
      <w:r w:rsidRPr="00AB1DA0">
        <w:rPr>
          <w:sz w:val="20"/>
        </w:rPr>
        <w:t>Sprache.</w:t>
      </w:r>
    </w:p>
    <w:p w:rsidR="00AB1DA0" w:rsidRPr="00AB1DA0" w:rsidRDefault="00896545" w:rsidP="00AB1DA0">
      <w:pPr>
        <w:overflowPunct/>
        <w:textAlignment w:val="auto"/>
        <w:rPr>
          <w:b/>
          <w:bCs/>
          <w:sz w:val="20"/>
        </w:rPr>
      </w:pPr>
      <w:r w:rsidRPr="00AB1DA0">
        <w:rPr>
          <w:b/>
          <w:bCs/>
          <w:sz w:val="20"/>
        </w:rPr>
        <w:t>Anforderungen in der Prüfung</w:t>
      </w:r>
    </w:p>
    <w:p w:rsidR="00AB1DA0" w:rsidRPr="00AB1DA0" w:rsidRDefault="00896545" w:rsidP="00AB1DA0">
      <w:pPr>
        <w:overflowPunct/>
        <w:textAlignment w:val="auto"/>
        <w:rPr>
          <w:b/>
          <w:bCs/>
          <w:i/>
          <w:iCs/>
          <w:sz w:val="20"/>
        </w:rPr>
      </w:pPr>
      <w:r w:rsidRPr="00AB1DA0">
        <w:rPr>
          <w:b/>
          <w:bCs/>
          <w:i/>
          <w:iCs/>
          <w:sz w:val="20"/>
        </w:rPr>
        <w:t>Hauptfach</w:t>
      </w:r>
    </w:p>
    <w:p w:rsidR="00AB1DA0" w:rsidRPr="00AB1DA0" w:rsidRDefault="00896545" w:rsidP="00AB1DA0">
      <w:pPr>
        <w:overflowPunct/>
        <w:textAlignment w:val="auto"/>
        <w:rPr>
          <w:sz w:val="20"/>
        </w:rPr>
      </w:pPr>
      <w:r w:rsidRPr="00AB1DA0">
        <w:rPr>
          <w:sz w:val="20"/>
        </w:rPr>
        <w:t>Die Prüfung dauert 60 Minuten. Ein Drittel dieser Prüfungszeit umfasst die Sprachwissenschaft, ein Drittel die Literaturwissenschaft und ein Drittel das Grundlagen- und Überblickswissen. Die Bewerberinnen und Bewerber wählen in Abstimmung mit ihren Prüferinnen und Prüfern in Literatur</w:t>
      </w:r>
      <w:r>
        <w:rPr>
          <w:sz w:val="20"/>
        </w:rPr>
        <w:t xml:space="preserve"> </w:t>
      </w:r>
      <w:r w:rsidRPr="00AB1DA0">
        <w:rPr>
          <w:sz w:val="20"/>
        </w:rPr>
        <w:t>und Sprachwissenschaft je zwei Schwerpunktthemen. In der Sprachwissenschaft muss mindestens ein gegenwartsbezogenes Fachgebiet berücksichtigt sein. In der Literaturwissenschaft beziehen sich die Schwerpunktthemen auf das 16.–21. Jahrhundert, wobei das 20.–21. Jahrhundert berücksichtigt sein muss. Die Prüfung von Grundlagen- und Überblickswissen sowie die Prüfung der Schwerpunkte in Sprach- und Literaturwissenschaft schließen Fragestellungen aus den Landes- und Kulturwissenschaften mit ein.</w:t>
      </w:r>
    </w:p>
    <w:p w:rsidR="00AB1DA0" w:rsidRPr="00AB1DA0" w:rsidRDefault="00896545" w:rsidP="00AB1DA0">
      <w:pPr>
        <w:overflowPunct/>
        <w:textAlignment w:val="auto"/>
        <w:rPr>
          <w:b/>
          <w:bCs/>
          <w:i/>
          <w:iCs/>
          <w:sz w:val="20"/>
        </w:rPr>
      </w:pPr>
      <w:r w:rsidRPr="00AB1DA0">
        <w:rPr>
          <w:b/>
          <w:bCs/>
          <w:i/>
          <w:iCs/>
          <w:sz w:val="20"/>
        </w:rPr>
        <w:t>Beifach</w:t>
      </w:r>
    </w:p>
    <w:p w:rsidR="00AB1DA0" w:rsidRPr="00AB1DA0" w:rsidRDefault="00896545" w:rsidP="00AB1DA0">
      <w:pPr>
        <w:overflowPunct/>
        <w:textAlignment w:val="auto"/>
        <w:rPr>
          <w:sz w:val="20"/>
        </w:rPr>
      </w:pPr>
      <w:r w:rsidRPr="00AB1DA0">
        <w:rPr>
          <w:sz w:val="20"/>
        </w:rPr>
        <w:t>Die Prüfung dauert 45 Minuten. Ein Drittel dieser Prüfungszeit umfasst die Sprachwissenschaft, ein Drittel die Literaturwissenschaft und ein Drittel das Grundlagen- und Überblickswissen. Die Bewerberinnen und Bewerber wählen in Abstimmung mit ihren Prüferinnen und Prüfern in Literatur- und Sprachwissenschaft je ein Schwerpunktthema. In der Sprachwissenschaft stammt das Thema aus einem gegenwartsbezogenen Fachgebiet, in der Literaturwissenschaft aus dem 19.–21. Jahrhundert. Die Prüfung des Grundlagen- und Überblickswissens in Sprach– und Literaturwissenschaft schließt Fragestellungen aus den Landes- und Kulturwissenschaften mit ein.</w:t>
      </w:r>
    </w:p>
    <w:p w:rsidR="00BC42E4" w:rsidRDefault="000D2241" w:rsidP="00A22D67"/>
    <w:sectPr w:rsidR="00BC42E4"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02" w:rsidRDefault="00896545">
      <w:r>
        <w:separator/>
      </w:r>
    </w:p>
  </w:endnote>
  <w:endnote w:type="continuationSeparator" w:id="0">
    <w:p w:rsidR="00665102" w:rsidRDefault="0089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609" w:rsidRDefault="00D406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609" w:rsidRDefault="00D406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609" w:rsidRDefault="00D406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02" w:rsidRDefault="00896545">
      <w:r>
        <w:separator/>
      </w:r>
    </w:p>
  </w:footnote>
  <w:footnote w:type="continuationSeparator" w:id="0">
    <w:p w:rsidR="00665102" w:rsidRDefault="0089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89654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0D22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0D2241">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609" w:rsidRDefault="00D4060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45"/>
    <w:rsid w:val="000D2241"/>
    <w:rsid w:val="00665102"/>
    <w:rsid w:val="00896545"/>
    <w:rsid w:val="00D40609"/>
    <w:rsid w:val="00F05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E1D287-AAB4-4EBF-A2EF-4C96FBD9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5BC0DB6A8B634E0BBE3309CC7289FF7A"/>
        <w:category>
          <w:name w:val="Allgemein"/>
          <w:gallery w:val="placeholder"/>
        </w:category>
        <w:types>
          <w:type w:val="bbPlcHdr"/>
        </w:types>
        <w:behaviors>
          <w:behavior w:val="content"/>
        </w:behaviors>
        <w:guid w:val="{A0F9B15E-41A0-4C3A-82C6-7B1731D4F2F6}"/>
      </w:docPartPr>
      <w:docPartBody>
        <w:p w:rsidR="007D616A" w:rsidRDefault="00E15FA1" w:rsidP="00E15FA1">
          <w:pPr>
            <w:pStyle w:val="5BC0DB6A8B634E0BBE3309CC7289FF7A"/>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7D616A"/>
    <w:rsid w:val="007E1688"/>
    <w:rsid w:val="00D26EF6"/>
    <w:rsid w:val="00E15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5FA1"/>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5BC0DB6A8B634E0BBE3309CC7289FF7A">
    <w:name w:val="5BC0DB6A8B634E0BBE3309CC7289FF7A"/>
    <w:rsid w:val="00E15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7390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2020-08-30T15:05:00Z</dcterms:created>
  <dcterms:modified xsi:type="dcterms:W3CDTF">2022-11-11T08:02:00Z</dcterms:modified>
</cp:coreProperties>
</file>